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9D5F" w14:textId="77777777" w:rsidR="001E501B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GIMNAZIJA DARUVAR</w:t>
      </w:r>
    </w:p>
    <w:p w14:paraId="724E9D60" w14:textId="77777777" w:rsidR="00256C89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GUNDULIĆEVA 14</w:t>
      </w:r>
    </w:p>
    <w:p w14:paraId="724E9D61" w14:textId="77777777" w:rsidR="00256C89" w:rsidRPr="00256C89" w:rsidRDefault="00256C89" w:rsidP="00256C89">
      <w:pPr>
        <w:spacing w:after="0" w:line="240" w:lineRule="auto"/>
        <w:rPr>
          <w:sz w:val="24"/>
          <w:szCs w:val="24"/>
        </w:rPr>
      </w:pPr>
      <w:r w:rsidRPr="00256C89">
        <w:rPr>
          <w:sz w:val="24"/>
          <w:szCs w:val="24"/>
        </w:rPr>
        <w:t>DARUVAR</w:t>
      </w:r>
    </w:p>
    <w:p w14:paraId="724E9D62" w14:textId="56CE065E" w:rsidR="00256C89" w:rsidRPr="00350AB2" w:rsidRDefault="00256C89" w:rsidP="00256C89">
      <w:pPr>
        <w:spacing w:after="0" w:line="240" w:lineRule="auto"/>
        <w:rPr>
          <w:sz w:val="24"/>
          <w:szCs w:val="24"/>
        </w:rPr>
      </w:pPr>
      <w:r w:rsidRPr="00350AB2">
        <w:rPr>
          <w:sz w:val="24"/>
          <w:szCs w:val="24"/>
        </w:rPr>
        <w:t>KLASA:</w:t>
      </w:r>
      <w:r w:rsidR="003D4D23" w:rsidRPr="00350AB2">
        <w:rPr>
          <w:sz w:val="24"/>
          <w:szCs w:val="24"/>
        </w:rPr>
        <w:t xml:space="preserve"> 400-01/26</w:t>
      </w:r>
      <w:r w:rsidR="00B94BE5" w:rsidRPr="00350AB2">
        <w:rPr>
          <w:sz w:val="24"/>
          <w:szCs w:val="24"/>
        </w:rPr>
        <w:t>-01-01</w:t>
      </w:r>
    </w:p>
    <w:p w14:paraId="724E9D63" w14:textId="4D66CCFD" w:rsidR="00256C89" w:rsidRPr="00350AB2" w:rsidRDefault="00256C89" w:rsidP="00256C89">
      <w:pPr>
        <w:spacing w:after="0" w:line="240" w:lineRule="auto"/>
        <w:rPr>
          <w:sz w:val="24"/>
          <w:szCs w:val="24"/>
        </w:rPr>
      </w:pPr>
      <w:r w:rsidRPr="00350AB2">
        <w:rPr>
          <w:sz w:val="24"/>
          <w:szCs w:val="24"/>
        </w:rPr>
        <w:t>URBROJ:</w:t>
      </w:r>
      <w:r w:rsidR="003D4D23" w:rsidRPr="00350AB2">
        <w:rPr>
          <w:sz w:val="24"/>
          <w:szCs w:val="24"/>
        </w:rPr>
        <w:t xml:space="preserve"> 2103-89-01-26-5</w:t>
      </w:r>
    </w:p>
    <w:p w14:paraId="724E9D64" w14:textId="63633278" w:rsidR="00256C89" w:rsidRPr="002F3786" w:rsidRDefault="00A557E5" w:rsidP="00256C89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Daruvar, 25. ožujka</w:t>
      </w:r>
      <w:r w:rsidR="003D4D23">
        <w:rPr>
          <w:sz w:val="24"/>
          <w:szCs w:val="24"/>
        </w:rPr>
        <w:t xml:space="preserve"> 2026</w:t>
      </w:r>
      <w:r w:rsidR="00256C89" w:rsidRPr="00935B96">
        <w:rPr>
          <w:sz w:val="24"/>
          <w:szCs w:val="24"/>
        </w:rPr>
        <w:t>. godine</w:t>
      </w:r>
    </w:p>
    <w:p w14:paraId="724E9D65" w14:textId="77777777" w:rsidR="00256C89" w:rsidRDefault="00256C89" w:rsidP="00256C89">
      <w:pPr>
        <w:spacing w:after="0" w:line="240" w:lineRule="auto"/>
        <w:rPr>
          <w:sz w:val="24"/>
          <w:szCs w:val="24"/>
        </w:rPr>
      </w:pPr>
    </w:p>
    <w:p w14:paraId="4F82F2D4" w14:textId="77777777" w:rsidR="00F8129B" w:rsidRDefault="00F8129B" w:rsidP="00256C89">
      <w:pPr>
        <w:spacing w:after="0" w:line="240" w:lineRule="auto"/>
        <w:rPr>
          <w:sz w:val="24"/>
          <w:szCs w:val="24"/>
        </w:rPr>
      </w:pPr>
    </w:p>
    <w:p w14:paraId="724EA44E" w14:textId="7FB8491C" w:rsidR="00B204AB" w:rsidRPr="00B204AB" w:rsidRDefault="00B745B7" w:rsidP="00B20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 I</w:t>
      </w:r>
      <w:r w:rsidR="00B204AB" w:rsidRPr="00B204AB">
        <w:rPr>
          <w:b/>
          <w:sz w:val="24"/>
          <w:szCs w:val="24"/>
        </w:rPr>
        <w:t>zvještaja o izvršenju financijskog plana</w:t>
      </w:r>
    </w:p>
    <w:p w14:paraId="724EA44F" w14:textId="3B469830" w:rsidR="00192B48" w:rsidRDefault="00A557E5" w:rsidP="00B20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Gimnazije Daruvar za 2025</w:t>
      </w:r>
      <w:r w:rsidR="00B204AB" w:rsidRPr="00B204AB">
        <w:rPr>
          <w:b/>
          <w:sz w:val="24"/>
          <w:szCs w:val="24"/>
        </w:rPr>
        <w:t>.godinu</w:t>
      </w:r>
    </w:p>
    <w:p w14:paraId="724EA450" w14:textId="77777777" w:rsidR="00B204AB" w:rsidRDefault="00B204AB" w:rsidP="00B204AB">
      <w:pPr>
        <w:spacing w:after="0" w:line="240" w:lineRule="auto"/>
        <w:jc w:val="center"/>
        <w:rPr>
          <w:b/>
          <w:sz w:val="24"/>
          <w:szCs w:val="24"/>
        </w:rPr>
      </w:pPr>
    </w:p>
    <w:p w14:paraId="724EA451" w14:textId="77777777" w:rsidR="00EF3B28" w:rsidRDefault="00EF3B28" w:rsidP="00B204AB">
      <w:pPr>
        <w:spacing w:after="0" w:line="240" w:lineRule="auto"/>
        <w:jc w:val="center"/>
        <w:rPr>
          <w:b/>
          <w:sz w:val="24"/>
          <w:szCs w:val="24"/>
        </w:rPr>
      </w:pPr>
    </w:p>
    <w:p w14:paraId="724EA452" w14:textId="662C5C87" w:rsidR="00B204AB" w:rsidRDefault="00EF3B28" w:rsidP="00B57C01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311560">
        <w:rPr>
          <w:b/>
          <w:iCs/>
          <w:sz w:val="24"/>
          <w:szCs w:val="24"/>
        </w:rPr>
        <w:t>I. Obrazloženje općeg dijela izvještaja o izvršenju financijskog plana</w:t>
      </w:r>
    </w:p>
    <w:p w14:paraId="1C2367B4" w14:textId="77777777" w:rsidR="00B57C01" w:rsidRDefault="00B57C01" w:rsidP="00B57C01">
      <w:pPr>
        <w:spacing w:after="0" w:line="240" w:lineRule="auto"/>
        <w:jc w:val="center"/>
        <w:rPr>
          <w:b/>
          <w:iCs/>
          <w:sz w:val="24"/>
          <w:szCs w:val="24"/>
        </w:rPr>
      </w:pPr>
    </w:p>
    <w:p w14:paraId="664FBD70" w14:textId="1F86E42E" w:rsidR="00B57C01" w:rsidRPr="00B9104A" w:rsidRDefault="00B57C01" w:rsidP="00B9104A">
      <w:pPr>
        <w:spacing w:after="0" w:line="240" w:lineRule="auto"/>
        <w:ind w:left="708"/>
        <w:rPr>
          <w:b/>
          <w:iCs/>
          <w:sz w:val="24"/>
          <w:szCs w:val="24"/>
          <w:u w:val="single"/>
        </w:rPr>
      </w:pPr>
      <w:r w:rsidRPr="00B9104A">
        <w:rPr>
          <w:b/>
          <w:iCs/>
          <w:sz w:val="24"/>
          <w:szCs w:val="24"/>
          <w:u w:val="single"/>
        </w:rPr>
        <w:t>Sažetak računa prihoda i rashoda</w:t>
      </w:r>
    </w:p>
    <w:p w14:paraId="14EC872A" w14:textId="77777777" w:rsidR="00B57C01" w:rsidRPr="00B57C01" w:rsidRDefault="00B57C01" w:rsidP="00B57C01">
      <w:pPr>
        <w:pStyle w:val="Odlomakpopisa"/>
        <w:spacing w:after="0" w:line="240" w:lineRule="auto"/>
        <w:rPr>
          <w:b/>
          <w:iCs/>
          <w:sz w:val="24"/>
          <w:szCs w:val="24"/>
        </w:rPr>
      </w:pPr>
    </w:p>
    <w:p w14:paraId="724EA454" w14:textId="7771CAA2" w:rsidR="00FF59BD" w:rsidRPr="001218C0" w:rsidRDefault="00D27B75" w:rsidP="00293EA3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Nakon </w:t>
      </w:r>
      <w:r w:rsidR="005478B2">
        <w:rPr>
          <w:rFonts w:cstheme="minorHAnsi"/>
          <w:sz w:val="24"/>
          <w:szCs w:val="24"/>
        </w:rPr>
        <w:t>usvajanja financijskog plana</w:t>
      </w:r>
      <w:r w:rsidR="00487C2E">
        <w:rPr>
          <w:rFonts w:cstheme="minorHAnsi"/>
          <w:sz w:val="24"/>
          <w:szCs w:val="24"/>
        </w:rPr>
        <w:t>, odnosno rebalansa za 2025</w:t>
      </w:r>
      <w:r w:rsidRPr="001218C0">
        <w:rPr>
          <w:rFonts w:cstheme="minorHAnsi"/>
          <w:sz w:val="24"/>
          <w:szCs w:val="24"/>
        </w:rPr>
        <w:t>.godinu</w:t>
      </w:r>
      <w:r w:rsidR="00FF59BD" w:rsidRPr="001218C0">
        <w:rPr>
          <w:rFonts w:cstheme="minorHAnsi"/>
          <w:sz w:val="24"/>
          <w:szCs w:val="24"/>
        </w:rPr>
        <w:t xml:space="preserve"> koji je usvojen na </w:t>
      </w:r>
      <w:r w:rsidRPr="001218C0">
        <w:rPr>
          <w:rFonts w:cstheme="minorHAnsi"/>
          <w:sz w:val="24"/>
          <w:szCs w:val="24"/>
        </w:rPr>
        <w:t>sjedn</w:t>
      </w:r>
      <w:r w:rsidR="00487C2E">
        <w:rPr>
          <w:rFonts w:cstheme="minorHAnsi"/>
          <w:sz w:val="24"/>
          <w:szCs w:val="24"/>
        </w:rPr>
        <w:t>ici Školskog odbora, održanoj 22. prosinca 2025</w:t>
      </w:r>
      <w:r w:rsidRPr="001218C0">
        <w:rPr>
          <w:rFonts w:cstheme="minorHAnsi"/>
          <w:sz w:val="24"/>
          <w:szCs w:val="24"/>
        </w:rPr>
        <w:t xml:space="preserve">. </w:t>
      </w:r>
      <w:r w:rsidR="00FF59BD" w:rsidRPr="001218C0">
        <w:rPr>
          <w:rFonts w:cstheme="minorHAnsi"/>
          <w:sz w:val="24"/>
          <w:szCs w:val="24"/>
        </w:rPr>
        <w:t xml:space="preserve">godine plan prihoda i primitaka </w:t>
      </w:r>
      <w:r w:rsidR="0090396F">
        <w:rPr>
          <w:rFonts w:cstheme="minorHAnsi"/>
          <w:sz w:val="24"/>
          <w:szCs w:val="24"/>
        </w:rPr>
        <w:t>za 2025. godinu iznosio je 1.040.688,00</w:t>
      </w:r>
      <w:r w:rsidRPr="001218C0">
        <w:rPr>
          <w:rFonts w:cstheme="minorHAnsi"/>
          <w:sz w:val="24"/>
          <w:szCs w:val="24"/>
        </w:rPr>
        <w:t xml:space="preserve"> eura. Prihod</w:t>
      </w:r>
      <w:r w:rsidR="00FF59BD" w:rsidRPr="001218C0">
        <w:rPr>
          <w:rFonts w:cstheme="minorHAnsi"/>
          <w:sz w:val="24"/>
          <w:szCs w:val="24"/>
        </w:rPr>
        <w:t xml:space="preserve">i i primici u razdoblju 01.01. - </w:t>
      </w:r>
      <w:r w:rsidR="0090396F">
        <w:rPr>
          <w:rFonts w:cstheme="minorHAnsi"/>
          <w:sz w:val="24"/>
          <w:szCs w:val="24"/>
        </w:rPr>
        <w:t>31.12.2025</w:t>
      </w:r>
      <w:r w:rsidRPr="001218C0">
        <w:rPr>
          <w:rFonts w:cstheme="minorHAnsi"/>
          <w:sz w:val="24"/>
          <w:szCs w:val="24"/>
        </w:rPr>
        <w:t>. godine ost</w:t>
      </w:r>
      <w:r w:rsidR="0090396F">
        <w:rPr>
          <w:rFonts w:cstheme="minorHAnsi"/>
          <w:sz w:val="24"/>
          <w:szCs w:val="24"/>
        </w:rPr>
        <w:t>vareni su u iznosu od 954.725,63</w:t>
      </w:r>
      <w:r w:rsidRPr="001218C0">
        <w:rPr>
          <w:rFonts w:cstheme="minorHAnsi"/>
          <w:sz w:val="24"/>
          <w:szCs w:val="24"/>
        </w:rPr>
        <w:t xml:space="preserve"> eura</w:t>
      </w:r>
      <w:r w:rsidR="0090396F">
        <w:rPr>
          <w:rFonts w:cstheme="minorHAnsi"/>
          <w:sz w:val="24"/>
          <w:szCs w:val="24"/>
        </w:rPr>
        <w:t xml:space="preserve"> što je 110,07</w:t>
      </w:r>
      <w:r w:rsidR="00FF59BD" w:rsidRPr="001218C0">
        <w:rPr>
          <w:rFonts w:cstheme="minorHAnsi"/>
          <w:sz w:val="24"/>
          <w:szCs w:val="24"/>
        </w:rPr>
        <w:t xml:space="preserve"> % u odnosu na ostvarenje prihoda i primitaka </w:t>
      </w:r>
      <w:r w:rsidR="0090396F">
        <w:rPr>
          <w:rFonts w:cstheme="minorHAnsi"/>
          <w:sz w:val="24"/>
          <w:szCs w:val="24"/>
        </w:rPr>
        <w:t>2024</w:t>
      </w:r>
      <w:r w:rsidRPr="001218C0">
        <w:rPr>
          <w:rFonts w:cstheme="minorHAnsi"/>
          <w:sz w:val="24"/>
          <w:szCs w:val="24"/>
        </w:rPr>
        <w:t xml:space="preserve">. </w:t>
      </w:r>
      <w:r w:rsidR="0090396F">
        <w:rPr>
          <w:rFonts w:cstheme="minorHAnsi"/>
          <w:sz w:val="24"/>
          <w:szCs w:val="24"/>
        </w:rPr>
        <w:t xml:space="preserve">godine, odnosno 91,74 </w:t>
      </w:r>
      <w:r w:rsidRPr="001218C0">
        <w:rPr>
          <w:rFonts w:cstheme="minorHAnsi"/>
          <w:sz w:val="24"/>
          <w:szCs w:val="24"/>
        </w:rPr>
        <w:t xml:space="preserve">% u odnosu na </w:t>
      </w:r>
      <w:r w:rsidR="006D15CB">
        <w:rPr>
          <w:rFonts w:cstheme="minorHAnsi"/>
          <w:sz w:val="24"/>
          <w:szCs w:val="24"/>
        </w:rPr>
        <w:t xml:space="preserve">ukupan </w:t>
      </w:r>
      <w:r w:rsidRPr="001218C0">
        <w:rPr>
          <w:rFonts w:cstheme="minorHAnsi"/>
          <w:sz w:val="24"/>
          <w:szCs w:val="24"/>
        </w:rPr>
        <w:t>pla</w:t>
      </w:r>
      <w:r w:rsidR="00FF59BD" w:rsidRPr="001218C0">
        <w:rPr>
          <w:rFonts w:cstheme="minorHAnsi"/>
          <w:sz w:val="24"/>
          <w:szCs w:val="24"/>
        </w:rPr>
        <w:t xml:space="preserve">n tekuće godine. </w:t>
      </w:r>
    </w:p>
    <w:p w14:paraId="724EA455" w14:textId="26EE97E9" w:rsidR="007C3DC7" w:rsidRPr="001218C0" w:rsidRDefault="00FF59BD" w:rsidP="00D27B75">
      <w:pPr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Plan rashoda i </w:t>
      </w:r>
      <w:r w:rsidR="00D27B75" w:rsidRPr="001218C0">
        <w:rPr>
          <w:rFonts w:cstheme="minorHAnsi"/>
          <w:sz w:val="24"/>
          <w:szCs w:val="24"/>
        </w:rPr>
        <w:t>i</w:t>
      </w:r>
      <w:r w:rsidR="000B0F7D">
        <w:rPr>
          <w:rFonts w:cstheme="minorHAnsi"/>
          <w:sz w:val="24"/>
          <w:szCs w:val="24"/>
        </w:rPr>
        <w:t>zdataka iznosio je 1.045.307,00</w:t>
      </w:r>
      <w:r w:rsidRPr="001218C0">
        <w:rPr>
          <w:rFonts w:cstheme="minorHAnsi"/>
          <w:sz w:val="24"/>
          <w:szCs w:val="24"/>
        </w:rPr>
        <w:t xml:space="preserve"> eura</w:t>
      </w:r>
      <w:r w:rsidR="007C3DC7" w:rsidRPr="001218C0">
        <w:rPr>
          <w:rFonts w:cstheme="minorHAnsi"/>
          <w:sz w:val="24"/>
          <w:szCs w:val="24"/>
        </w:rPr>
        <w:t>. O</w:t>
      </w:r>
      <w:r w:rsidR="000A73B5">
        <w:rPr>
          <w:rFonts w:cstheme="minorHAnsi"/>
          <w:sz w:val="24"/>
          <w:szCs w:val="24"/>
        </w:rPr>
        <w:t xml:space="preserve">stvareni </w:t>
      </w:r>
      <w:r w:rsidR="00555D3E">
        <w:rPr>
          <w:rFonts w:cstheme="minorHAnsi"/>
          <w:sz w:val="24"/>
          <w:szCs w:val="24"/>
        </w:rPr>
        <w:t>rashodi i izdaci 2025</w:t>
      </w:r>
      <w:r w:rsidR="000A73B5">
        <w:rPr>
          <w:rFonts w:cstheme="minorHAnsi"/>
          <w:sz w:val="24"/>
          <w:szCs w:val="24"/>
        </w:rPr>
        <w:t xml:space="preserve">.godine iznose je </w:t>
      </w:r>
      <w:r w:rsidR="00555D3E">
        <w:rPr>
          <w:rFonts w:cstheme="minorHAnsi"/>
          <w:sz w:val="24"/>
          <w:szCs w:val="24"/>
        </w:rPr>
        <w:t xml:space="preserve">1.029.106,63 eura što je 115,52 </w:t>
      </w:r>
      <w:r w:rsidR="007C3DC7" w:rsidRPr="001218C0">
        <w:rPr>
          <w:rFonts w:cstheme="minorHAnsi"/>
          <w:sz w:val="24"/>
          <w:szCs w:val="24"/>
        </w:rPr>
        <w:t xml:space="preserve">% u odnosu </w:t>
      </w:r>
      <w:r w:rsidR="000A73B5">
        <w:rPr>
          <w:rFonts w:cstheme="minorHAnsi"/>
          <w:sz w:val="24"/>
          <w:szCs w:val="24"/>
        </w:rPr>
        <w:t>na ostvarene rashode i izdatke</w:t>
      </w:r>
      <w:r w:rsidR="00555D3E">
        <w:rPr>
          <w:rFonts w:cstheme="minorHAnsi"/>
          <w:sz w:val="24"/>
          <w:szCs w:val="24"/>
        </w:rPr>
        <w:t xml:space="preserve"> 2024. godine, odnosno 98,45 </w:t>
      </w:r>
      <w:r w:rsidR="007C3DC7" w:rsidRPr="001218C0">
        <w:rPr>
          <w:rFonts w:cstheme="minorHAnsi"/>
          <w:sz w:val="24"/>
          <w:szCs w:val="24"/>
        </w:rPr>
        <w:t>% u odnosu na plan tekuće godine</w:t>
      </w:r>
      <w:r w:rsidR="00D27B75" w:rsidRPr="001218C0">
        <w:rPr>
          <w:rFonts w:cstheme="minorHAnsi"/>
          <w:sz w:val="24"/>
          <w:szCs w:val="24"/>
        </w:rPr>
        <w:t xml:space="preserve">. </w:t>
      </w:r>
    </w:p>
    <w:p w14:paraId="724EA456" w14:textId="6F43B7F6" w:rsidR="001218C0" w:rsidRDefault="007C3DC7" w:rsidP="000A73B5">
      <w:pPr>
        <w:spacing w:after="0" w:line="240" w:lineRule="auto"/>
        <w:rPr>
          <w:rFonts w:cstheme="minorHAnsi"/>
          <w:sz w:val="24"/>
          <w:szCs w:val="24"/>
        </w:rPr>
      </w:pPr>
      <w:r w:rsidRPr="001218C0">
        <w:rPr>
          <w:rFonts w:cstheme="minorHAnsi"/>
          <w:sz w:val="24"/>
          <w:szCs w:val="24"/>
        </w:rPr>
        <w:t xml:space="preserve">     </w:t>
      </w:r>
      <w:r w:rsidR="00DE1F59">
        <w:rPr>
          <w:rFonts w:cstheme="minorHAnsi"/>
          <w:sz w:val="24"/>
          <w:szCs w:val="24"/>
        </w:rPr>
        <w:t>Preneseni višak iz 2024.godine iznosi 2.313,89</w:t>
      </w:r>
      <w:r w:rsidR="00C1391D">
        <w:rPr>
          <w:rFonts w:cstheme="minorHAnsi"/>
          <w:sz w:val="24"/>
          <w:szCs w:val="24"/>
        </w:rPr>
        <w:t xml:space="preserve"> eura koji </w:t>
      </w:r>
      <w:r w:rsidR="00DE1F59">
        <w:rPr>
          <w:rFonts w:cstheme="minorHAnsi"/>
          <w:sz w:val="24"/>
          <w:szCs w:val="24"/>
        </w:rPr>
        <w:t xml:space="preserve">je </w:t>
      </w:r>
      <w:r w:rsidR="00D84444">
        <w:rPr>
          <w:rFonts w:cstheme="minorHAnsi"/>
          <w:sz w:val="24"/>
          <w:szCs w:val="24"/>
        </w:rPr>
        <w:t>utrošen</w:t>
      </w:r>
      <w:r w:rsidR="00DE1F59">
        <w:rPr>
          <w:rFonts w:cstheme="minorHAnsi"/>
          <w:sz w:val="24"/>
          <w:szCs w:val="24"/>
        </w:rPr>
        <w:t xml:space="preserve"> u 2025</w:t>
      </w:r>
      <w:r w:rsidR="00C1391D">
        <w:rPr>
          <w:rFonts w:cstheme="minorHAnsi"/>
          <w:sz w:val="24"/>
          <w:szCs w:val="24"/>
        </w:rPr>
        <w:t>.</w:t>
      </w:r>
      <w:r w:rsidR="00DE1F59">
        <w:rPr>
          <w:rFonts w:cstheme="minorHAnsi"/>
          <w:sz w:val="24"/>
          <w:szCs w:val="24"/>
        </w:rPr>
        <w:t xml:space="preserve"> </w:t>
      </w:r>
      <w:r w:rsidR="00C1391D">
        <w:rPr>
          <w:rFonts w:cstheme="minorHAnsi"/>
          <w:sz w:val="24"/>
          <w:szCs w:val="24"/>
        </w:rPr>
        <w:t>godini.</w:t>
      </w:r>
    </w:p>
    <w:p w14:paraId="724EA457" w14:textId="615E509F" w:rsidR="00C1391D" w:rsidRDefault="00C1391D" w:rsidP="000A73B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kraju izvještajnog razdoblja ostvaren je</w:t>
      </w:r>
      <w:r w:rsidR="006667B7">
        <w:rPr>
          <w:rFonts w:cstheme="minorHAnsi"/>
          <w:sz w:val="24"/>
          <w:szCs w:val="24"/>
        </w:rPr>
        <w:t xml:space="preserve"> manjak u iznosu 74.381,00</w:t>
      </w:r>
      <w:r w:rsidR="00D84444">
        <w:rPr>
          <w:rFonts w:cstheme="minorHAnsi"/>
          <w:sz w:val="24"/>
          <w:szCs w:val="24"/>
        </w:rPr>
        <w:t xml:space="preserve"> eura,</w:t>
      </w:r>
      <w:r w:rsidR="009B35A3">
        <w:rPr>
          <w:rFonts w:cstheme="minorHAnsi"/>
          <w:sz w:val="24"/>
          <w:szCs w:val="24"/>
        </w:rPr>
        <w:t xml:space="preserve"> međutim s prenesenim viškom </w:t>
      </w:r>
      <w:r w:rsidR="00D84444">
        <w:rPr>
          <w:rFonts w:cstheme="minorHAnsi"/>
          <w:sz w:val="24"/>
          <w:szCs w:val="24"/>
        </w:rPr>
        <w:t>ostvaren</w:t>
      </w:r>
      <w:r w:rsidR="009B35A3">
        <w:rPr>
          <w:rFonts w:cstheme="minorHAnsi"/>
          <w:sz w:val="24"/>
          <w:szCs w:val="24"/>
        </w:rPr>
        <w:t xml:space="preserve"> je</w:t>
      </w:r>
      <w:r w:rsidR="006667B7">
        <w:rPr>
          <w:rFonts w:cstheme="minorHAnsi"/>
          <w:sz w:val="24"/>
          <w:szCs w:val="24"/>
        </w:rPr>
        <w:t xml:space="preserve"> manjak</w:t>
      </w:r>
      <w:r w:rsidR="00D84444">
        <w:rPr>
          <w:rFonts w:cstheme="minorHAnsi"/>
          <w:sz w:val="24"/>
          <w:szCs w:val="24"/>
        </w:rPr>
        <w:t xml:space="preserve"> </w:t>
      </w:r>
      <w:r w:rsidR="009B35A3">
        <w:rPr>
          <w:rFonts w:cstheme="minorHAnsi"/>
          <w:sz w:val="24"/>
          <w:szCs w:val="24"/>
        </w:rPr>
        <w:t xml:space="preserve">prihoda </w:t>
      </w:r>
      <w:r w:rsidR="006667B7">
        <w:rPr>
          <w:rFonts w:cstheme="minorHAnsi"/>
          <w:sz w:val="24"/>
          <w:szCs w:val="24"/>
        </w:rPr>
        <w:t>u iznosu 72.067,11</w:t>
      </w:r>
      <w:r w:rsidR="00D84444">
        <w:rPr>
          <w:rFonts w:cstheme="minorHAnsi"/>
          <w:sz w:val="24"/>
          <w:szCs w:val="24"/>
        </w:rPr>
        <w:t xml:space="preserve"> eura</w:t>
      </w:r>
      <w:r w:rsidR="00B373C5">
        <w:rPr>
          <w:rFonts w:cstheme="minorHAnsi"/>
          <w:sz w:val="24"/>
          <w:szCs w:val="24"/>
        </w:rPr>
        <w:t xml:space="preserve"> i odnosi se na plaću za 12./2025. koja je knjižena kao rashod u 2025. godini, a prihod </w:t>
      </w:r>
      <w:r w:rsidR="00EB5C2B">
        <w:rPr>
          <w:rFonts w:cstheme="minorHAnsi"/>
          <w:sz w:val="24"/>
          <w:szCs w:val="24"/>
        </w:rPr>
        <w:t xml:space="preserve">će </w:t>
      </w:r>
      <w:r w:rsidR="00B373C5">
        <w:rPr>
          <w:rFonts w:cstheme="minorHAnsi"/>
          <w:sz w:val="24"/>
          <w:szCs w:val="24"/>
        </w:rPr>
        <w:t>se knjiži</w:t>
      </w:r>
      <w:r w:rsidR="00EB5C2B">
        <w:rPr>
          <w:rFonts w:cstheme="minorHAnsi"/>
          <w:sz w:val="24"/>
          <w:szCs w:val="24"/>
        </w:rPr>
        <w:t>ti</w:t>
      </w:r>
      <w:r w:rsidR="00B373C5">
        <w:rPr>
          <w:rFonts w:cstheme="minorHAnsi"/>
          <w:sz w:val="24"/>
          <w:szCs w:val="24"/>
        </w:rPr>
        <w:t xml:space="preserve"> u 2026. </w:t>
      </w:r>
      <w:r w:rsidR="00EB5C2B">
        <w:rPr>
          <w:rFonts w:cstheme="minorHAnsi"/>
          <w:sz w:val="24"/>
          <w:szCs w:val="24"/>
        </w:rPr>
        <w:t>godini prilikom isplate plaće.</w:t>
      </w:r>
    </w:p>
    <w:p w14:paraId="7FBACF7E" w14:textId="77777777" w:rsidR="002C7934" w:rsidRDefault="002C7934" w:rsidP="000A73B5">
      <w:pPr>
        <w:spacing w:after="0" w:line="240" w:lineRule="auto"/>
        <w:rPr>
          <w:rFonts w:cstheme="minorHAnsi"/>
          <w:sz w:val="24"/>
          <w:szCs w:val="24"/>
        </w:rPr>
      </w:pPr>
    </w:p>
    <w:p w14:paraId="3CB70431" w14:textId="6377A41B" w:rsidR="002C7934" w:rsidRPr="00AB3FD1" w:rsidRDefault="002C7934" w:rsidP="00AB3FD1">
      <w:pPr>
        <w:spacing w:after="0" w:line="240" w:lineRule="auto"/>
        <w:ind w:left="708"/>
        <w:rPr>
          <w:rFonts w:cstheme="minorHAnsi"/>
          <w:b/>
          <w:sz w:val="24"/>
          <w:szCs w:val="24"/>
          <w:u w:val="single"/>
        </w:rPr>
      </w:pPr>
      <w:r w:rsidRPr="00AB3FD1">
        <w:rPr>
          <w:rFonts w:cstheme="minorHAnsi"/>
          <w:b/>
          <w:sz w:val="24"/>
          <w:szCs w:val="24"/>
          <w:u w:val="single"/>
        </w:rPr>
        <w:t>Izvještaj o prihodima i rashodima prema ekonomskoj klasifikaciji</w:t>
      </w:r>
    </w:p>
    <w:p w14:paraId="724EA458" w14:textId="77777777" w:rsidR="00F15084" w:rsidRPr="007338B0" w:rsidRDefault="00F15084" w:rsidP="007338B0">
      <w:pPr>
        <w:spacing w:after="0" w:line="240" w:lineRule="auto"/>
        <w:rPr>
          <w:rFonts w:cstheme="minorHAnsi"/>
          <w:sz w:val="24"/>
          <w:szCs w:val="24"/>
        </w:rPr>
      </w:pPr>
    </w:p>
    <w:p w14:paraId="724EA459" w14:textId="6D16AAC7" w:rsidR="0001250D" w:rsidRDefault="007962EF" w:rsidP="000125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3EA3">
        <w:rPr>
          <w:sz w:val="24"/>
          <w:szCs w:val="24"/>
        </w:rPr>
        <w:t xml:space="preserve">Prihodi skupine </w:t>
      </w:r>
      <w:r w:rsidR="00293EA3">
        <w:rPr>
          <w:rFonts w:cstheme="minorHAnsi"/>
          <w:sz w:val="24"/>
          <w:szCs w:val="24"/>
        </w:rPr>
        <w:t>63 Pomoći iz inozemstva i od subjekata unutar općeg proračuna</w:t>
      </w:r>
      <w:r w:rsidR="0001250D">
        <w:rPr>
          <w:rFonts w:cstheme="minorHAnsi"/>
          <w:sz w:val="24"/>
          <w:szCs w:val="24"/>
        </w:rPr>
        <w:t xml:space="preserve"> </w:t>
      </w:r>
      <w:r w:rsidR="00405014">
        <w:rPr>
          <w:rFonts w:cstheme="minorHAnsi"/>
          <w:sz w:val="24"/>
          <w:szCs w:val="24"/>
        </w:rPr>
        <w:t xml:space="preserve">ostvareni su u iznosu 858.854,21 eura što je 108,89 </w:t>
      </w:r>
      <w:r w:rsidR="0001250D">
        <w:rPr>
          <w:rFonts w:cstheme="minorHAnsi"/>
          <w:sz w:val="24"/>
          <w:szCs w:val="24"/>
        </w:rPr>
        <w:t>% u odnosu na ostvarenje</w:t>
      </w:r>
      <w:r w:rsidR="00405014">
        <w:rPr>
          <w:rFonts w:cstheme="minorHAnsi"/>
          <w:sz w:val="24"/>
          <w:szCs w:val="24"/>
        </w:rPr>
        <w:t xml:space="preserve"> 2024. godine, odnosno 91,07 </w:t>
      </w:r>
      <w:r w:rsidR="0001250D">
        <w:rPr>
          <w:rFonts w:cstheme="minorHAnsi"/>
          <w:sz w:val="24"/>
          <w:szCs w:val="24"/>
        </w:rPr>
        <w:t>% u odnosu na tekući plan. Navedeni prihodi odnose se na prihode</w:t>
      </w:r>
      <w:r w:rsidR="00405014">
        <w:rPr>
          <w:rFonts w:cstheme="minorHAnsi"/>
          <w:sz w:val="24"/>
          <w:szCs w:val="24"/>
        </w:rPr>
        <w:t xml:space="preserve"> za isplatu plaća zaposlenika, </w:t>
      </w:r>
      <w:r w:rsidR="00A47451">
        <w:rPr>
          <w:rFonts w:cstheme="minorHAnsi"/>
          <w:sz w:val="24"/>
          <w:szCs w:val="24"/>
        </w:rPr>
        <w:t xml:space="preserve">prihode za </w:t>
      </w:r>
      <w:r w:rsidR="00405014">
        <w:rPr>
          <w:rFonts w:cstheme="minorHAnsi"/>
          <w:sz w:val="24"/>
          <w:szCs w:val="24"/>
        </w:rPr>
        <w:t>program rada s darovitim učenicima i prihode projekta Oživljena baština</w:t>
      </w:r>
      <w:r w:rsidR="00DF1513">
        <w:rPr>
          <w:rFonts w:cstheme="minorHAnsi"/>
          <w:sz w:val="24"/>
          <w:szCs w:val="24"/>
        </w:rPr>
        <w:t xml:space="preserve">, </w:t>
      </w:r>
      <w:r w:rsidR="0001250D">
        <w:rPr>
          <w:rFonts w:cstheme="minorHAnsi"/>
          <w:sz w:val="24"/>
          <w:szCs w:val="24"/>
        </w:rPr>
        <w:t>malim dijelom na prihode za kupnju udžbenika</w:t>
      </w:r>
      <w:r w:rsidR="00DF1513">
        <w:rPr>
          <w:rFonts w:cstheme="minorHAnsi"/>
          <w:sz w:val="24"/>
          <w:szCs w:val="24"/>
        </w:rPr>
        <w:t xml:space="preserve"> i knjiga te</w:t>
      </w:r>
      <w:r w:rsidR="0001250D">
        <w:rPr>
          <w:rFonts w:cstheme="minorHAnsi"/>
          <w:sz w:val="24"/>
          <w:szCs w:val="24"/>
        </w:rPr>
        <w:t xml:space="preserve"> nabavku menstrualnih potrepština za djevojke.</w:t>
      </w:r>
    </w:p>
    <w:p w14:paraId="724EA45B" w14:textId="77777777" w:rsidR="00C90DB5" w:rsidRDefault="00C90DB5" w:rsidP="0001250D">
      <w:pPr>
        <w:spacing w:after="0" w:line="240" w:lineRule="auto"/>
        <w:rPr>
          <w:rFonts w:cstheme="minorHAnsi"/>
          <w:sz w:val="24"/>
          <w:szCs w:val="24"/>
        </w:rPr>
      </w:pPr>
    </w:p>
    <w:p w14:paraId="724EA45D" w14:textId="07A336DF" w:rsidR="00C90DB5" w:rsidRDefault="00C90DB5" w:rsidP="0001250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Prihodi skupine 64 Prihodi od imovine </w:t>
      </w:r>
      <w:r w:rsidR="00DE1B76">
        <w:rPr>
          <w:rFonts w:cstheme="minorHAnsi"/>
          <w:sz w:val="24"/>
          <w:szCs w:val="24"/>
        </w:rPr>
        <w:t>planirani su u iznosu 2,00 eura a ostvareni su u iznosu 1,33 eura što iznosi 66,5 % u odnosu na plan.</w:t>
      </w:r>
    </w:p>
    <w:p w14:paraId="7A3CD9A4" w14:textId="77777777" w:rsidR="00DE1B76" w:rsidRDefault="00DE1B76" w:rsidP="0001250D">
      <w:pPr>
        <w:spacing w:after="0" w:line="240" w:lineRule="auto"/>
        <w:rPr>
          <w:rFonts w:cstheme="minorHAnsi"/>
          <w:sz w:val="24"/>
          <w:szCs w:val="24"/>
        </w:rPr>
      </w:pPr>
    </w:p>
    <w:p w14:paraId="724EA45E" w14:textId="1E94C2FA" w:rsidR="00C90DB5" w:rsidRDefault="00C90DB5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  Prihodi skupine 66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FB6CD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rihodi od prodaje proizvoda i robe te pruženih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usluga i prihodi od donacija te povrati po</w:t>
      </w:r>
      <w:r w:rsidRPr="00FB6CD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protestiranim jamstvima</w:t>
      </w:r>
      <w:r w:rsidR="00DE1B7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ostvareni su u iznosu 1.219,93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 št</w:t>
      </w:r>
      <w:r w:rsidR="00DE1B7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 je 40,39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% u odnosu na ostvarenje </w:t>
      </w:r>
      <w:r w:rsidR="00DE1B76">
        <w:rPr>
          <w:rFonts w:eastAsia="Times New Roman" w:cstheme="minorHAnsi"/>
          <w:color w:val="000000"/>
          <w:sz w:val="24"/>
          <w:szCs w:val="24"/>
          <w:lang w:eastAsia="hr-HR"/>
        </w:rPr>
        <w:t>u istom razdoblju 2024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DE1B7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godine, odnosno 97,59 % u odnosu na plan za 2025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DE1B7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godinu.</w:t>
      </w:r>
    </w:p>
    <w:p w14:paraId="724EA45F" w14:textId="70E6855D" w:rsidR="00C90DB5" w:rsidRDefault="00C90DB5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Prihodi skupine 66 odnose se na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prihode od najma školskog stan</w:t>
      </w:r>
      <w:r w:rsidR="001C64DE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24EA460" w14:textId="77777777" w:rsidR="007F3F6C" w:rsidRDefault="007F3F6C" w:rsidP="00C90DB5">
      <w:pPr>
        <w:spacing w:after="0" w:line="240" w:lineRule="auto"/>
        <w:ind w:left="170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1" w14:textId="17ECA5FD" w:rsidR="007F3F6C" w:rsidRDefault="00C8269D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>Prihodi skupine 67 P</w:t>
      </w:r>
      <w:r w:rsidR="007F3F6C" w:rsidRPr="00FB6CD4">
        <w:rPr>
          <w:rFonts w:eastAsia="Times New Roman" w:cstheme="minorHAnsi"/>
          <w:color w:val="000000"/>
          <w:sz w:val="24"/>
          <w:szCs w:val="24"/>
          <w:lang w:eastAsia="hr-HR"/>
        </w:rPr>
        <w:t>rihodi iz nadležnog proračuna i od HZZO-a temeljem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F3F6C" w:rsidRPr="00FB6CD4">
        <w:rPr>
          <w:rFonts w:eastAsia="Times New Roman" w:cstheme="minorHAnsi"/>
          <w:color w:val="000000"/>
          <w:sz w:val="24"/>
          <w:szCs w:val="24"/>
          <w:lang w:eastAsia="hr-HR"/>
        </w:rPr>
        <w:t>ugovornih obveza</w:t>
      </w:r>
      <w:r w:rsidR="007F3F6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odnose se na prihode iz Županijskog proračuna koji su namijenjeni za pokriće materijalnih troškova, troškova energije, usluga, prijevoza zaposlenika na/s posla, dnevnice za službena putovanja</w:t>
      </w:r>
      <w:r w:rsidR="00E06FB8">
        <w:rPr>
          <w:rFonts w:eastAsia="Times New Roman" w:cstheme="minorHAnsi"/>
          <w:color w:val="000000"/>
          <w:sz w:val="24"/>
          <w:szCs w:val="24"/>
          <w:lang w:eastAsia="hr-HR"/>
        </w:rPr>
        <w:t>, provedbu natjecanja i sl. N</w:t>
      </w:r>
      <w:r w:rsidR="00A27901">
        <w:rPr>
          <w:rFonts w:eastAsia="Times New Roman" w:cstheme="minorHAnsi"/>
          <w:color w:val="000000"/>
          <w:sz w:val="24"/>
          <w:szCs w:val="24"/>
          <w:lang w:eastAsia="hr-HR"/>
        </w:rPr>
        <w:t>a kraju 2025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 godine ostvaren</w:t>
      </w:r>
      <w:r w:rsidR="00A2790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su u iznosu 86.400,59 eura </w:t>
      </w:r>
      <w:r w:rsidR="00A27901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što je 116,52 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% u odnosu na ostvarenje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istom razdoblju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2790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prethodne godine, odnosno 98,1 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% u odnosu na tekući plan.</w:t>
      </w:r>
    </w:p>
    <w:p w14:paraId="724EA462" w14:textId="77777777" w:rsidR="007A5F99" w:rsidRDefault="007A5F99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43C50C4" w14:textId="77777777" w:rsidR="00F172B9" w:rsidRDefault="00C8269D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7A5F99">
        <w:rPr>
          <w:rFonts w:eastAsia="Times New Roman" w:cstheme="minorHAnsi"/>
          <w:color w:val="000000"/>
          <w:sz w:val="24"/>
          <w:szCs w:val="24"/>
          <w:lang w:eastAsia="hr-HR"/>
        </w:rPr>
        <w:t>Prihodi skupine</w:t>
      </w:r>
      <w:r w:rsidR="009966D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68 Kazne, upravne mjere i ostali prihodi</w:t>
      </w:r>
      <w:r w:rsidR="00F172B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ostvareni su u iznosu 8.249,57</w:t>
      </w:r>
    </w:p>
    <w:p w14:paraId="724EA463" w14:textId="13DC0F99" w:rsidR="00F13D26" w:rsidRDefault="00F172B9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 što je 564,38 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% u odn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osu na ostvarenje 2024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.god</w:t>
      </w:r>
      <w:r w:rsidR="00E34D3D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E34D3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odnose se na prihode od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uplate učenika za financiranje izvanučioničke nastave</w:t>
      </w:r>
      <w:r w:rsidR="005658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Razlog velikog odstupanja je prelazak na Jedinstveni račun Bjelovarsko-bilogorske županije i novog načina prikupljanja sreds</w:t>
      </w:r>
      <w:r w:rsidR="00F543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tava od učenika, kao i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evidentiranja i knjiženja</w:t>
      </w:r>
      <w:r w:rsidR="00F543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istih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24EA464" w14:textId="77777777" w:rsidR="00F15084" w:rsidRDefault="00F15084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5" w14:textId="77777777" w:rsidR="004C0D07" w:rsidRDefault="00F13D26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</w:t>
      </w:r>
      <w:r w:rsidR="00E34D3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34D3D">
        <w:rPr>
          <w:rFonts w:cstheme="minorHAnsi"/>
          <w:sz w:val="24"/>
          <w:szCs w:val="24"/>
        </w:rPr>
        <w:t>S</w:t>
      </w:r>
      <w:r w:rsidR="005E329E">
        <w:rPr>
          <w:rFonts w:cstheme="minorHAnsi"/>
          <w:sz w:val="24"/>
          <w:szCs w:val="24"/>
        </w:rPr>
        <w:t>vi prihodi Gimnazije Daruvar su namjenski, te su tako i utrošeni, kako rastu prihodi, istom dinamikom rastu i rashodi.</w:t>
      </w:r>
    </w:p>
    <w:p w14:paraId="131B0895" w14:textId="77777777" w:rsidR="00750CAE" w:rsidRPr="00F15084" w:rsidRDefault="00750CAE" w:rsidP="00C826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24EA466" w14:textId="0F78BDE4" w:rsidR="00FC3EB4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C3EB4">
        <w:rPr>
          <w:rFonts w:cstheme="minorHAnsi"/>
          <w:sz w:val="24"/>
          <w:szCs w:val="24"/>
        </w:rPr>
        <w:t xml:space="preserve">Rashodi skupine </w:t>
      </w:r>
      <w:r>
        <w:rPr>
          <w:rFonts w:cstheme="minorHAnsi"/>
          <w:sz w:val="24"/>
          <w:szCs w:val="24"/>
        </w:rPr>
        <w:t xml:space="preserve">31 Rashodi za zaposlene </w:t>
      </w:r>
      <w:r w:rsidR="008F41E1">
        <w:rPr>
          <w:rFonts w:cstheme="minorHAnsi"/>
          <w:sz w:val="24"/>
          <w:szCs w:val="24"/>
        </w:rPr>
        <w:t>ostvareni su u iznosu 922.444,43</w:t>
      </w:r>
      <w:r>
        <w:rPr>
          <w:rFonts w:cstheme="minorHAnsi"/>
          <w:sz w:val="24"/>
          <w:szCs w:val="24"/>
        </w:rPr>
        <w:t xml:space="preserve"> eura što </w:t>
      </w:r>
      <w:r w:rsidR="008F41E1">
        <w:rPr>
          <w:rFonts w:cstheme="minorHAnsi"/>
          <w:sz w:val="24"/>
          <w:szCs w:val="24"/>
        </w:rPr>
        <w:t xml:space="preserve">je u odnosu na tekući plan 98,39 </w:t>
      </w:r>
      <w:r>
        <w:rPr>
          <w:rFonts w:cstheme="minorHAnsi"/>
          <w:sz w:val="24"/>
          <w:szCs w:val="24"/>
        </w:rPr>
        <w:t xml:space="preserve">%, odnosno u odnosu na izvršenje </w:t>
      </w:r>
      <w:r w:rsidR="002A6342">
        <w:rPr>
          <w:rFonts w:cstheme="minorHAnsi"/>
          <w:sz w:val="24"/>
          <w:szCs w:val="24"/>
        </w:rPr>
        <w:t>promatrano</w:t>
      </w:r>
      <w:r w:rsidR="00E06FB8">
        <w:rPr>
          <w:rFonts w:cstheme="minorHAnsi"/>
          <w:sz w:val="24"/>
          <w:szCs w:val="24"/>
        </w:rPr>
        <w:t>g razdoblja</w:t>
      </w:r>
      <w:r w:rsidR="008F41E1">
        <w:rPr>
          <w:rFonts w:cstheme="minorHAnsi"/>
          <w:sz w:val="24"/>
          <w:szCs w:val="24"/>
        </w:rPr>
        <w:t xml:space="preserve"> prethodne godine 118,72 </w:t>
      </w:r>
      <w:r>
        <w:rPr>
          <w:rFonts w:cstheme="minorHAnsi"/>
          <w:sz w:val="24"/>
          <w:szCs w:val="24"/>
        </w:rPr>
        <w:t>%. Razlog povećanja navedenih rashoda u odnosu na prethodnu godinu je povećanje plaća zaposlenima u javnom sektoru.</w:t>
      </w:r>
    </w:p>
    <w:p w14:paraId="724EA467" w14:textId="77777777" w:rsidR="004C0D07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8" w14:textId="0DE4F099" w:rsidR="00C155C5" w:rsidRDefault="004C0D07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</w:t>
      </w:r>
      <w:r w:rsidR="00852797">
        <w:rPr>
          <w:rFonts w:cstheme="minorHAnsi"/>
          <w:sz w:val="24"/>
          <w:szCs w:val="24"/>
        </w:rPr>
        <w:t>32 Materijalni rashodi odnose se na naknade troškova zaposlenima, rashode za materijal i energiju, rashode za usluge te ostale nespom</w:t>
      </w:r>
      <w:r w:rsidR="002A6342">
        <w:rPr>
          <w:rFonts w:cstheme="minorHAnsi"/>
          <w:sz w:val="24"/>
          <w:szCs w:val="24"/>
        </w:rPr>
        <w:t>enute ra</w:t>
      </w:r>
      <w:r w:rsidR="00A677BA">
        <w:rPr>
          <w:rFonts w:cstheme="minorHAnsi"/>
          <w:sz w:val="24"/>
          <w:szCs w:val="24"/>
        </w:rPr>
        <w:t>shode poslovanja. Na kraju 2025</w:t>
      </w:r>
      <w:r w:rsidR="00852797">
        <w:rPr>
          <w:rFonts w:cstheme="minorHAnsi"/>
          <w:sz w:val="24"/>
          <w:szCs w:val="24"/>
        </w:rPr>
        <w:t>.</w:t>
      </w:r>
      <w:r w:rsidR="00A677BA">
        <w:rPr>
          <w:rFonts w:cstheme="minorHAnsi"/>
          <w:sz w:val="24"/>
          <w:szCs w:val="24"/>
        </w:rPr>
        <w:t xml:space="preserve"> </w:t>
      </w:r>
      <w:r w:rsidR="00852797">
        <w:rPr>
          <w:rFonts w:cstheme="minorHAnsi"/>
          <w:sz w:val="24"/>
          <w:szCs w:val="24"/>
        </w:rPr>
        <w:t>godin</w:t>
      </w:r>
      <w:r w:rsidR="002A6342">
        <w:rPr>
          <w:rFonts w:cstheme="minorHAnsi"/>
          <w:sz w:val="24"/>
          <w:szCs w:val="24"/>
        </w:rPr>
        <w:t xml:space="preserve">e ostvareni su u iznosu </w:t>
      </w:r>
      <w:r w:rsidR="00A677BA">
        <w:rPr>
          <w:rFonts w:cstheme="minorHAnsi"/>
          <w:sz w:val="24"/>
          <w:szCs w:val="24"/>
        </w:rPr>
        <w:t xml:space="preserve">101.268,76 </w:t>
      </w:r>
      <w:r w:rsidR="00852797">
        <w:rPr>
          <w:rFonts w:cstheme="minorHAnsi"/>
          <w:sz w:val="24"/>
          <w:szCs w:val="24"/>
        </w:rPr>
        <w:t>eura što je u o</w:t>
      </w:r>
      <w:r w:rsidR="00A677BA">
        <w:rPr>
          <w:rFonts w:cstheme="minorHAnsi"/>
          <w:sz w:val="24"/>
          <w:szCs w:val="24"/>
        </w:rPr>
        <w:t xml:space="preserve">dnosu na prethodnu godinu 94,36 </w:t>
      </w:r>
      <w:r w:rsidR="0085038C">
        <w:rPr>
          <w:rFonts w:cstheme="minorHAnsi"/>
          <w:sz w:val="24"/>
          <w:szCs w:val="24"/>
        </w:rPr>
        <w:t>%, dok</w:t>
      </w:r>
      <w:r w:rsidR="002A6342">
        <w:rPr>
          <w:rFonts w:cstheme="minorHAnsi"/>
          <w:sz w:val="24"/>
          <w:szCs w:val="24"/>
        </w:rPr>
        <w:t xml:space="preserve"> </w:t>
      </w:r>
      <w:r w:rsidR="0085038C">
        <w:rPr>
          <w:rFonts w:cstheme="minorHAnsi"/>
          <w:sz w:val="24"/>
          <w:szCs w:val="24"/>
        </w:rPr>
        <w:t xml:space="preserve">u </w:t>
      </w:r>
      <w:r w:rsidR="002A6342">
        <w:rPr>
          <w:rFonts w:cstheme="minorHAnsi"/>
          <w:sz w:val="24"/>
          <w:szCs w:val="24"/>
        </w:rPr>
        <w:t xml:space="preserve">odnosu na trenutni plan </w:t>
      </w:r>
      <w:r w:rsidR="00A677BA">
        <w:rPr>
          <w:rFonts w:cstheme="minorHAnsi"/>
          <w:sz w:val="24"/>
          <w:szCs w:val="24"/>
        </w:rPr>
        <w:t xml:space="preserve">iznosi 99,61 </w:t>
      </w:r>
      <w:r w:rsidR="00852797">
        <w:rPr>
          <w:rFonts w:cstheme="minorHAnsi"/>
          <w:sz w:val="24"/>
          <w:szCs w:val="24"/>
        </w:rPr>
        <w:t xml:space="preserve">%. Razlog odstupanja </w:t>
      </w:r>
      <w:r w:rsidR="00A677BA">
        <w:rPr>
          <w:rFonts w:cstheme="minorHAnsi"/>
          <w:sz w:val="24"/>
          <w:szCs w:val="24"/>
        </w:rPr>
        <w:t xml:space="preserve">u odnosu na lanjsku godinu je sudjelovanje na projektu Erasmus+ </w:t>
      </w:r>
      <w:r w:rsidR="00956BDA">
        <w:rPr>
          <w:rFonts w:cstheme="minorHAnsi"/>
          <w:sz w:val="24"/>
          <w:szCs w:val="24"/>
        </w:rPr>
        <w:t xml:space="preserve">čiji su se troškovi </w:t>
      </w:r>
      <w:r w:rsidR="00035E1F">
        <w:rPr>
          <w:rFonts w:cstheme="minorHAnsi"/>
          <w:sz w:val="24"/>
          <w:szCs w:val="24"/>
        </w:rPr>
        <w:t xml:space="preserve">2024. godine </w:t>
      </w:r>
      <w:r w:rsidR="00956BDA">
        <w:rPr>
          <w:rFonts w:cstheme="minorHAnsi"/>
          <w:sz w:val="24"/>
          <w:szCs w:val="24"/>
        </w:rPr>
        <w:t>knjižili pod navedenom skupinom</w:t>
      </w:r>
      <w:r w:rsidR="00A677BA">
        <w:rPr>
          <w:rFonts w:cstheme="minorHAnsi"/>
          <w:sz w:val="24"/>
          <w:szCs w:val="24"/>
        </w:rPr>
        <w:t>.</w:t>
      </w:r>
    </w:p>
    <w:p w14:paraId="724EA469" w14:textId="77777777" w:rsidR="002A6342" w:rsidRDefault="002A6342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A" w14:textId="3C99A9D0" w:rsidR="00C155C5" w:rsidRDefault="00C155C5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34 F</w:t>
      </w:r>
      <w:r w:rsidR="00D930BD">
        <w:rPr>
          <w:rFonts w:cstheme="minorHAnsi"/>
          <w:sz w:val="24"/>
          <w:szCs w:val="24"/>
        </w:rPr>
        <w:t xml:space="preserve">inancijski rashodi koji se odnose na rashode za bankarske usluge i </w:t>
      </w:r>
      <w:r w:rsidR="00DB1FEA">
        <w:rPr>
          <w:rFonts w:cstheme="minorHAnsi"/>
          <w:sz w:val="24"/>
          <w:szCs w:val="24"/>
        </w:rPr>
        <w:t>usluge platnog prometa ostvareni</w:t>
      </w:r>
      <w:r w:rsidR="005E26D7">
        <w:rPr>
          <w:rFonts w:cstheme="minorHAnsi"/>
          <w:sz w:val="24"/>
          <w:szCs w:val="24"/>
        </w:rPr>
        <w:t xml:space="preserve"> su u iznosu 181,70 eura što je 90,85 </w:t>
      </w:r>
      <w:r w:rsidR="00D930BD">
        <w:rPr>
          <w:rFonts w:cstheme="minorHAnsi"/>
          <w:sz w:val="24"/>
          <w:szCs w:val="24"/>
        </w:rPr>
        <w:t>% u odnosu na tekući plan.</w:t>
      </w:r>
    </w:p>
    <w:p w14:paraId="724EA46B" w14:textId="77777777" w:rsidR="00D930BD" w:rsidRDefault="00D930BD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C" w14:textId="44F3EBCD" w:rsidR="00D930BD" w:rsidRDefault="00D930BD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37 Naknade građanima i kućanstvima na temelju osiguranja i druge nak</w:t>
      </w:r>
      <w:r w:rsidR="000277F1">
        <w:rPr>
          <w:rFonts w:cstheme="minorHAnsi"/>
          <w:sz w:val="24"/>
          <w:szCs w:val="24"/>
        </w:rPr>
        <w:t>n</w:t>
      </w:r>
      <w:r w:rsidR="004B5C7D">
        <w:rPr>
          <w:rFonts w:cstheme="minorHAnsi"/>
          <w:sz w:val="24"/>
          <w:szCs w:val="24"/>
        </w:rPr>
        <w:t>ade ostvarene su u iznosu 420,00</w:t>
      </w:r>
      <w:r>
        <w:rPr>
          <w:rFonts w:cstheme="minorHAnsi"/>
          <w:sz w:val="24"/>
          <w:szCs w:val="24"/>
        </w:rPr>
        <w:t xml:space="preserve"> eura, </w:t>
      </w:r>
      <w:r w:rsidR="004B5C7D">
        <w:rPr>
          <w:rFonts w:cstheme="minorHAnsi"/>
          <w:sz w:val="24"/>
          <w:szCs w:val="24"/>
        </w:rPr>
        <w:t>odnosno 93,33</w:t>
      </w:r>
      <w:r w:rsidR="00996AF2">
        <w:rPr>
          <w:rFonts w:cstheme="minorHAnsi"/>
          <w:sz w:val="24"/>
          <w:szCs w:val="24"/>
        </w:rPr>
        <w:t xml:space="preserve"> </w:t>
      </w:r>
      <w:r w:rsidR="005E5834">
        <w:rPr>
          <w:rFonts w:cstheme="minorHAnsi"/>
          <w:sz w:val="24"/>
          <w:szCs w:val="24"/>
        </w:rPr>
        <w:t>% u odnosu na plan za 202</w:t>
      </w:r>
      <w:r w:rsidR="00996AF2">
        <w:rPr>
          <w:rFonts w:cstheme="minorHAnsi"/>
          <w:sz w:val="24"/>
          <w:szCs w:val="24"/>
        </w:rPr>
        <w:t>5</w:t>
      </w:r>
      <w:r w:rsidR="005E5834">
        <w:rPr>
          <w:rFonts w:cstheme="minorHAnsi"/>
          <w:sz w:val="24"/>
          <w:szCs w:val="24"/>
        </w:rPr>
        <w:t>.godinu.</w:t>
      </w:r>
    </w:p>
    <w:p w14:paraId="724EA46D" w14:textId="77777777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6E" w14:textId="1D70749C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38 Ostali rashodi odnose se na kupnju menstrualnih potrepština za djevojk</w:t>
      </w:r>
      <w:r w:rsidR="007009F9">
        <w:rPr>
          <w:rFonts w:cstheme="minorHAnsi"/>
          <w:sz w:val="24"/>
          <w:szCs w:val="24"/>
        </w:rPr>
        <w:t xml:space="preserve">e i ostvareni su u iznosu 507,50 eura što iznosi  99,9 </w:t>
      </w:r>
      <w:r>
        <w:rPr>
          <w:rFonts w:cstheme="minorHAnsi"/>
          <w:sz w:val="24"/>
          <w:szCs w:val="24"/>
        </w:rPr>
        <w:t>% tekućeg plana.</w:t>
      </w:r>
    </w:p>
    <w:p w14:paraId="724EA46F" w14:textId="77777777" w:rsidR="005E5834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71" w14:textId="1FA70E3C" w:rsidR="00CA0FD2" w:rsidRDefault="005E5834" w:rsidP="00C826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Rashodi skupine 42 Rashodi za nabavu nefinancijske imovin</w:t>
      </w:r>
      <w:r w:rsidR="00CA0FD2">
        <w:rPr>
          <w:rFonts w:cstheme="minorHAnsi"/>
          <w:sz w:val="24"/>
          <w:szCs w:val="24"/>
        </w:rPr>
        <w:t>e ostvareni su u</w:t>
      </w:r>
      <w:r w:rsidR="0004631D">
        <w:rPr>
          <w:rFonts w:cstheme="minorHAnsi"/>
          <w:sz w:val="24"/>
          <w:szCs w:val="24"/>
        </w:rPr>
        <w:t xml:space="preserve"> iznosu 4.284,24 eura, odnosno 85,91 </w:t>
      </w:r>
      <w:r>
        <w:rPr>
          <w:rFonts w:cstheme="minorHAnsi"/>
          <w:sz w:val="24"/>
          <w:szCs w:val="24"/>
        </w:rPr>
        <w:t>% u odnosu na</w:t>
      </w:r>
      <w:r w:rsidR="00DB1FEA">
        <w:rPr>
          <w:rFonts w:cstheme="minorHAnsi"/>
          <w:sz w:val="24"/>
          <w:szCs w:val="24"/>
        </w:rPr>
        <w:t xml:space="preserve"> tekući</w:t>
      </w:r>
      <w:r w:rsidR="0004631D">
        <w:rPr>
          <w:rFonts w:cstheme="minorHAnsi"/>
          <w:sz w:val="24"/>
          <w:szCs w:val="24"/>
        </w:rPr>
        <w:t xml:space="preserve"> plan i 81,17 </w:t>
      </w:r>
      <w:r>
        <w:rPr>
          <w:rFonts w:cstheme="minorHAnsi"/>
          <w:sz w:val="24"/>
          <w:szCs w:val="24"/>
        </w:rPr>
        <w:t xml:space="preserve">% u odnosu </w:t>
      </w:r>
      <w:r w:rsidR="00DB1FEA">
        <w:rPr>
          <w:rFonts w:cstheme="minorHAnsi"/>
          <w:sz w:val="24"/>
          <w:szCs w:val="24"/>
        </w:rPr>
        <w:t xml:space="preserve">na ostvarenje prethodne godine. </w:t>
      </w:r>
      <w:r w:rsidR="0004631D">
        <w:rPr>
          <w:rFonts w:cstheme="minorHAnsi"/>
          <w:sz w:val="24"/>
          <w:szCs w:val="24"/>
        </w:rPr>
        <w:t>U 2025</w:t>
      </w:r>
      <w:r>
        <w:rPr>
          <w:rFonts w:cstheme="minorHAnsi"/>
          <w:sz w:val="24"/>
          <w:szCs w:val="24"/>
        </w:rPr>
        <w:t>.</w:t>
      </w:r>
      <w:r w:rsidR="000463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godini </w:t>
      </w:r>
      <w:r w:rsidR="0095164E">
        <w:rPr>
          <w:rFonts w:cstheme="minorHAnsi"/>
          <w:sz w:val="24"/>
          <w:szCs w:val="24"/>
        </w:rPr>
        <w:t>n</w:t>
      </w:r>
      <w:r w:rsidR="0095164E" w:rsidRPr="0095164E">
        <w:rPr>
          <w:rFonts w:cstheme="minorHAnsi"/>
          <w:sz w:val="24"/>
          <w:szCs w:val="24"/>
        </w:rPr>
        <w:t>abavljeno je jedno računalo, šest ormarića i jedan ormar za učionice i kabinete, jedna uredska stolica i jedan mobitel, knjige za knjižnicu i udžbenici za dvoje djece.</w:t>
      </w:r>
    </w:p>
    <w:p w14:paraId="66D9CA1E" w14:textId="77777777" w:rsidR="0095164E" w:rsidRDefault="0095164E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4C2BD530" w14:textId="12C05DFA" w:rsidR="0095164E" w:rsidRPr="00DD1BDD" w:rsidRDefault="0031376D" w:rsidP="00DD1BDD">
      <w:pPr>
        <w:spacing w:after="0" w:line="240" w:lineRule="auto"/>
        <w:ind w:left="708"/>
        <w:rPr>
          <w:rFonts w:cstheme="minorHAnsi"/>
          <w:b/>
          <w:sz w:val="24"/>
          <w:szCs w:val="24"/>
          <w:u w:val="single"/>
        </w:rPr>
      </w:pPr>
      <w:r w:rsidRPr="00DD1BDD">
        <w:rPr>
          <w:rFonts w:cstheme="minorHAnsi"/>
          <w:b/>
          <w:sz w:val="24"/>
          <w:szCs w:val="24"/>
          <w:u w:val="single"/>
        </w:rPr>
        <w:t>Izvještaj o prihodima i rashodima po izvorima financiranja</w:t>
      </w:r>
    </w:p>
    <w:p w14:paraId="24906A43" w14:textId="77777777" w:rsidR="0095776A" w:rsidRDefault="0095776A" w:rsidP="00C8269D">
      <w:pPr>
        <w:spacing w:after="0" w:line="240" w:lineRule="auto"/>
        <w:rPr>
          <w:rFonts w:cstheme="minorHAnsi"/>
          <w:sz w:val="24"/>
          <w:szCs w:val="24"/>
        </w:rPr>
      </w:pPr>
    </w:p>
    <w:p w14:paraId="724EA474" w14:textId="1167C0B4" w:rsidR="00A474D8" w:rsidRDefault="0095776A" w:rsidP="00C8269D">
      <w:p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  <w:lang w:val="bs-Latn"/>
        </w:rPr>
        <w:t>Gimnazija Daruvar je za financiranje</w:t>
      </w:r>
      <w:r w:rsidR="00A474D8">
        <w:rPr>
          <w:rFonts w:cstheme="minorHAnsi"/>
          <w:sz w:val="24"/>
          <w:szCs w:val="24"/>
          <w:lang w:val="bs-Latn"/>
        </w:rPr>
        <w:t xml:space="preserve"> prihoda i prim</w:t>
      </w:r>
      <w:r w:rsidR="00F90CD3">
        <w:rPr>
          <w:rFonts w:cstheme="minorHAnsi"/>
          <w:sz w:val="24"/>
          <w:szCs w:val="24"/>
          <w:lang w:val="bs-Latn"/>
        </w:rPr>
        <w:t>i</w:t>
      </w:r>
      <w:r w:rsidR="00A474D8">
        <w:rPr>
          <w:rFonts w:cstheme="minorHAnsi"/>
          <w:sz w:val="24"/>
          <w:szCs w:val="24"/>
          <w:lang w:val="bs-Latn"/>
        </w:rPr>
        <w:t>taka te rashoda i izdataka</w:t>
      </w:r>
      <w:r>
        <w:rPr>
          <w:rFonts w:cstheme="minorHAnsi"/>
          <w:sz w:val="24"/>
          <w:szCs w:val="24"/>
          <w:lang w:val="bs-Latn"/>
        </w:rPr>
        <w:t xml:space="preserve"> u 2025. godini </w:t>
      </w:r>
      <w:r w:rsidR="001B18AB">
        <w:rPr>
          <w:rFonts w:cstheme="minorHAnsi"/>
          <w:sz w:val="24"/>
          <w:szCs w:val="24"/>
          <w:lang w:val="bs-Latn"/>
        </w:rPr>
        <w:t xml:space="preserve">koristila </w:t>
      </w:r>
      <w:r>
        <w:rPr>
          <w:rFonts w:cstheme="minorHAnsi"/>
          <w:sz w:val="24"/>
          <w:szCs w:val="24"/>
          <w:lang w:val="bs-Latn"/>
        </w:rPr>
        <w:t>šest izvora financiranja</w:t>
      </w:r>
      <w:r w:rsidR="00A474D8">
        <w:rPr>
          <w:rFonts w:cstheme="minorHAnsi"/>
          <w:sz w:val="24"/>
          <w:szCs w:val="24"/>
          <w:lang w:val="bs-Latn"/>
        </w:rPr>
        <w:t>:</w:t>
      </w:r>
    </w:p>
    <w:p w14:paraId="6CBA57C4" w14:textId="0B34FBF9" w:rsidR="0095776A" w:rsidRPr="0095776A" w:rsidRDefault="0095776A" w:rsidP="0095776A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11 Opći prihodi i primici</w:t>
      </w:r>
      <w:r w:rsidR="001B18AB">
        <w:rPr>
          <w:rFonts w:cstheme="minorHAnsi"/>
          <w:sz w:val="24"/>
          <w:szCs w:val="24"/>
          <w:lang w:val="bs-Latn"/>
        </w:rPr>
        <w:t xml:space="preserve"> – sredstva za obnovu knjižne građe u knjižnicama</w:t>
      </w:r>
    </w:p>
    <w:p w14:paraId="724EA475" w14:textId="469F8F59" w:rsidR="00A474D8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1</w:t>
      </w:r>
      <w:r w:rsidR="0095776A">
        <w:rPr>
          <w:rFonts w:cstheme="minorHAnsi"/>
          <w:sz w:val="24"/>
          <w:szCs w:val="24"/>
          <w:lang w:val="bs-Latn"/>
        </w:rPr>
        <w:t>2</w:t>
      </w:r>
      <w:r>
        <w:rPr>
          <w:rFonts w:cstheme="minorHAnsi"/>
          <w:sz w:val="24"/>
          <w:szCs w:val="24"/>
          <w:lang w:val="bs-Latn"/>
        </w:rPr>
        <w:t xml:space="preserve"> Prihodi za decentralizirane funkcije-SŠ (BBŽ)</w:t>
      </w:r>
    </w:p>
    <w:p w14:paraId="724EA476" w14:textId="77777777" w:rsidR="00DF6DF7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 w:rsidRPr="00DF6DF7">
        <w:rPr>
          <w:rFonts w:cstheme="minorHAnsi"/>
          <w:sz w:val="24"/>
          <w:szCs w:val="24"/>
          <w:lang w:val="bs-Latn"/>
        </w:rPr>
        <w:t xml:space="preserve">14 Prihodi od nefinancijske imovine – sufinanciranje E-tehničara </w:t>
      </w:r>
      <w:r w:rsidR="005F74D9">
        <w:rPr>
          <w:rFonts w:cstheme="minorHAnsi"/>
          <w:sz w:val="24"/>
          <w:szCs w:val="24"/>
          <w:lang w:val="bs-Latn"/>
        </w:rPr>
        <w:t>(BBŽ)</w:t>
      </w:r>
    </w:p>
    <w:p w14:paraId="724EA477" w14:textId="7161F308" w:rsidR="00A474D8" w:rsidRDefault="00A474D8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 w:rsidRPr="00DF6DF7">
        <w:rPr>
          <w:rFonts w:cstheme="minorHAnsi"/>
          <w:sz w:val="24"/>
          <w:szCs w:val="24"/>
          <w:lang w:val="bs-Latn"/>
        </w:rPr>
        <w:t>15 Administrativne (upravne</w:t>
      </w:r>
      <w:r w:rsidR="001B18AB">
        <w:rPr>
          <w:rFonts w:cstheme="minorHAnsi"/>
          <w:sz w:val="24"/>
          <w:szCs w:val="24"/>
          <w:lang w:val="bs-Latn"/>
        </w:rPr>
        <w:t>) pristojbe</w:t>
      </w:r>
      <w:r w:rsidRPr="00DF6DF7">
        <w:rPr>
          <w:rFonts w:cstheme="minorHAnsi"/>
          <w:sz w:val="24"/>
          <w:szCs w:val="24"/>
          <w:lang w:val="bs-Latn"/>
        </w:rPr>
        <w:t xml:space="preserve"> – za provedbu </w:t>
      </w:r>
      <w:r w:rsidR="00DF6DF7" w:rsidRPr="00DF6DF7">
        <w:rPr>
          <w:rFonts w:cstheme="minorHAnsi"/>
          <w:sz w:val="24"/>
          <w:szCs w:val="24"/>
          <w:lang w:val="bs-Latn"/>
        </w:rPr>
        <w:t xml:space="preserve">županijskih </w:t>
      </w:r>
      <w:r w:rsidRPr="00DF6DF7">
        <w:rPr>
          <w:rFonts w:cstheme="minorHAnsi"/>
          <w:sz w:val="24"/>
          <w:szCs w:val="24"/>
          <w:lang w:val="bs-Latn"/>
        </w:rPr>
        <w:t>natjecanja</w:t>
      </w:r>
      <w:r w:rsidR="005F74D9">
        <w:rPr>
          <w:rFonts w:cstheme="minorHAnsi"/>
          <w:sz w:val="24"/>
          <w:szCs w:val="24"/>
          <w:lang w:val="bs-Latn"/>
        </w:rPr>
        <w:t xml:space="preserve"> (BBŽ)</w:t>
      </w:r>
    </w:p>
    <w:p w14:paraId="724EA479" w14:textId="47E75CC7" w:rsidR="00A474D8" w:rsidRDefault="0095776A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3</w:t>
      </w:r>
      <w:r w:rsidR="00A474D8">
        <w:rPr>
          <w:rFonts w:cstheme="minorHAnsi"/>
          <w:sz w:val="24"/>
          <w:szCs w:val="24"/>
          <w:lang w:val="bs-Latn"/>
        </w:rPr>
        <w:t>2 Ostali i vlastiti prihodi proračunskih korisnika</w:t>
      </w:r>
    </w:p>
    <w:p w14:paraId="724EA47A" w14:textId="64D68B32" w:rsidR="00A474D8" w:rsidRDefault="0095776A" w:rsidP="00A474D8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>51 Pomoći iz Riznice i ministarstava</w:t>
      </w:r>
      <w:r w:rsidR="001B18AB">
        <w:rPr>
          <w:rFonts w:cstheme="minorHAnsi"/>
          <w:sz w:val="24"/>
          <w:szCs w:val="24"/>
          <w:lang w:val="bs-Latn"/>
        </w:rPr>
        <w:t xml:space="preserve"> – plaće zaposlenika</w:t>
      </w:r>
    </w:p>
    <w:p w14:paraId="1175875C" w14:textId="77777777" w:rsidR="001B18AB" w:rsidRDefault="001B18AB" w:rsidP="001B18AB">
      <w:pPr>
        <w:spacing w:after="0" w:line="240" w:lineRule="auto"/>
        <w:rPr>
          <w:rFonts w:cstheme="minorHAnsi"/>
          <w:sz w:val="24"/>
          <w:szCs w:val="24"/>
          <w:lang w:val="bs-Latn"/>
        </w:rPr>
      </w:pPr>
    </w:p>
    <w:p w14:paraId="4340E6F5" w14:textId="560F8D17" w:rsidR="001B18AB" w:rsidRDefault="001B18AB" w:rsidP="001B18AB">
      <w:pPr>
        <w:spacing w:after="0" w:line="240" w:lineRule="auto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lastRenderedPageBreak/>
        <w:t xml:space="preserve">     Po svim izvorima financiranja </w:t>
      </w:r>
      <w:r w:rsidR="00F05694">
        <w:rPr>
          <w:rFonts w:cstheme="minorHAnsi"/>
          <w:sz w:val="24"/>
          <w:szCs w:val="24"/>
          <w:lang w:val="bs-Latn"/>
        </w:rPr>
        <w:t>izvršenje financijskog plana prihoda i rashoda u odnosu na tekući plan kreće se od 95 – 100 % što govori o dobroj usklađenosti plana s izvršenjem. Na prihodima</w:t>
      </w:r>
      <w:r w:rsidR="000920C0">
        <w:rPr>
          <w:rFonts w:cstheme="minorHAnsi"/>
          <w:sz w:val="24"/>
          <w:szCs w:val="24"/>
          <w:lang w:val="bs-Latn"/>
        </w:rPr>
        <w:t>,</w:t>
      </w:r>
      <w:r w:rsidR="00F05694">
        <w:rPr>
          <w:rFonts w:cstheme="minorHAnsi"/>
          <w:sz w:val="24"/>
          <w:szCs w:val="24"/>
          <w:lang w:val="bs-Latn"/>
        </w:rPr>
        <w:t xml:space="preserve"> na izvoru 51</w:t>
      </w:r>
      <w:r w:rsidR="000920C0">
        <w:rPr>
          <w:rFonts w:cstheme="minorHAnsi"/>
          <w:sz w:val="24"/>
          <w:szCs w:val="24"/>
          <w:lang w:val="bs-Latn"/>
        </w:rPr>
        <w:t>,</w:t>
      </w:r>
      <w:r w:rsidR="00F05694">
        <w:rPr>
          <w:rFonts w:cstheme="minorHAnsi"/>
          <w:sz w:val="24"/>
          <w:szCs w:val="24"/>
          <w:lang w:val="bs-Latn"/>
        </w:rPr>
        <w:t xml:space="preserve"> izvršenje financijskog plana iznosi </w:t>
      </w:r>
      <w:r w:rsidR="000920C0">
        <w:rPr>
          <w:rFonts w:cstheme="minorHAnsi"/>
          <w:sz w:val="24"/>
          <w:szCs w:val="24"/>
          <w:lang w:val="bs-Latn"/>
        </w:rPr>
        <w:t>91,07 % u odnosu na tekući plan zbog plaće za 12./2025. koja će biti knjižena kao prihod u 1./2026. godine.</w:t>
      </w:r>
    </w:p>
    <w:p w14:paraId="031C9A73" w14:textId="77777777" w:rsidR="00A5556F" w:rsidRDefault="00A5556F" w:rsidP="001B18AB">
      <w:pPr>
        <w:spacing w:after="0" w:line="240" w:lineRule="auto"/>
        <w:rPr>
          <w:rFonts w:cstheme="minorHAnsi"/>
          <w:sz w:val="24"/>
          <w:szCs w:val="24"/>
          <w:lang w:val="bs-Latn"/>
        </w:rPr>
      </w:pPr>
    </w:p>
    <w:p w14:paraId="5F16335A" w14:textId="77689B59" w:rsidR="0082138D" w:rsidRPr="00A5556F" w:rsidRDefault="0082138D" w:rsidP="00A5556F">
      <w:pPr>
        <w:spacing w:after="0" w:line="240" w:lineRule="auto"/>
        <w:ind w:left="708"/>
        <w:rPr>
          <w:rFonts w:cstheme="minorHAnsi"/>
          <w:b/>
          <w:sz w:val="24"/>
          <w:szCs w:val="24"/>
          <w:u w:val="single"/>
          <w:lang w:val="bs-Latn"/>
        </w:rPr>
      </w:pPr>
      <w:r w:rsidRPr="00A5556F">
        <w:rPr>
          <w:rFonts w:cstheme="minorHAnsi"/>
          <w:b/>
          <w:sz w:val="24"/>
          <w:szCs w:val="24"/>
          <w:u w:val="single"/>
          <w:lang w:val="bs-Latn"/>
        </w:rPr>
        <w:t>Izvještaj o rashodima prema funkcijskoj klasifikaciji</w:t>
      </w:r>
    </w:p>
    <w:p w14:paraId="724EA47D" w14:textId="77777777" w:rsidR="00BC01A7" w:rsidRDefault="00BC01A7" w:rsidP="00BC01A7">
      <w:pPr>
        <w:pStyle w:val="Odlomakpopisa"/>
        <w:spacing w:after="0" w:line="240" w:lineRule="auto"/>
        <w:ind w:left="1428"/>
        <w:rPr>
          <w:rFonts w:cstheme="minorHAnsi"/>
          <w:sz w:val="24"/>
          <w:szCs w:val="24"/>
          <w:lang w:val="bs-Latn"/>
        </w:rPr>
      </w:pPr>
    </w:p>
    <w:p w14:paraId="724EA47F" w14:textId="7B5DDDA7" w:rsidR="00EF3B28" w:rsidRDefault="00BC01A7" w:rsidP="0082138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 xml:space="preserve">     </w:t>
      </w:r>
      <w:r w:rsidR="009A7245">
        <w:rPr>
          <w:rFonts w:cstheme="minorHAnsi"/>
          <w:sz w:val="24"/>
          <w:szCs w:val="24"/>
          <w:lang w:val="bs-Latn"/>
        </w:rPr>
        <w:t xml:space="preserve">Rashodi u </w:t>
      </w:r>
      <w:r>
        <w:rPr>
          <w:rFonts w:cstheme="minorHAnsi"/>
          <w:sz w:val="24"/>
          <w:szCs w:val="24"/>
          <w:lang w:val="bs-Latn"/>
        </w:rPr>
        <w:t>Izvještaj</w:t>
      </w:r>
      <w:r w:rsidR="009A7245">
        <w:rPr>
          <w:rFonts w:cstheme="minorHAnsi"/>
          <w:sz w:val="24"/>
          <w:szCs w:val="24"/>
          <w:lang w:val="bs-Latn"/>
        </w:rPr>
        <w:t>u</w:t>
      </w:r>
      <w:r>
        <w:rPr>
          <w:rFonts w:cstheme="minorHAnsi"/>
          <w:sz w:val="24"/>
          <w:szCs w:val="24"/>
          <w:lang w:val="bs-Latn"/>
        </w:rPr>
        <w:t xml:space="preserve"> o rashodima prema funkcijskoj klasifikaciji uvršten</w:t>
      </w:r>
      <w:r w:rsidR="009A7245">
        <w:rPr>
          <w:rFonts w:cstheme="minorHAnsi"/>
          <w:sz w:val="24"/>
          <w:szCs w:val="24"/>
          <w:lang w:val="bs-Latn"/>
        </w:rPr>
        <w:t>i su</w:t>
      </w:r>
      <w:r w:rsidR="00B52BAB">
        <w:rPr>
          <w:rFonts w:cstheme="minorHAnsi"/>
          <w:sz w:val="24"/>
          <w:szCs w:val="24"/>
          <w:lang w:val="bs-Latn"/>
        </w:rPr>
        <w:t xml:space="preserve"> pod brojčanom oznakom funkcij</w:t>
      </w:r>
      <w:r>
        <w:rPr>
          <w:rFonts w:cstheme="minorHAnsi"/>
          <w:sz w:val="24"/>
          <w:szCs w:val="24"/>
          <w:lang w:val="bs-Latn"/>
        </w:rPr>
        <w:t>ske klasifikacije 092 Srednjoškolsko obrazovanje, koje je primarni djelokrug rada Gimnazije Daruvar.</w:t>
      </w:r>
      <w:r w:rsidR="00F13D26">
        <w:rPr>
          <w:rFonts w:cstheme="minorHAnsi"/>
          <w:sz w:val="24"/>
          <w:szCs w:val="24"/>
          <w:lang w:val="bs-Latn"/>
        </w:rPr>
        <w:t xml:space="preserve"> </w:t>
      </w:r>
      <w:r w:rsidR="0082138D">
        <w:rPr>
          <w:rFonts w:cstheme="minorHAnsi"/>
          <w:sz w:val="24"/>
          <w:szCs w:val="24"/>
          <w:lang w:val="bs-Latn"/>
        </w:rPr>
        <w:t>Ukupni rashodi na navedenoj</w:t>
      </w:r>
      <w:r w:rsidR="0088063E">
        <w:rPr>
          <w:rFonts w:cstheme="minorHAnsi"/>
          <w:sz w:val="24"/>
          <w:szCs w:val="24"/>
          <w:lang w:val="bs-Latn"/>
        </w:rPr>
        <w:t xml:space="preserve"> </w:t>
      </w:r>
      <w:r w:rsidR="0082138D">
        <w:rPr>
          <w:rFonts w:cstheme="minorHAnsi"/>
          <w:sz w:val="24"/>
          <w:szCs w:val="24"/>
          <w:lang w:val="bs-Latn"/>
        </w:rPr>
        <w:t xml:space="preserve">klasifikaciji iznose 1.029.106,63 eura što </w:t>
      </w:r>
      <w:r w:rsidR="0088063E">
        <w:rPr>
          <w:rFonts w:cstheme="minorHAnsi"/>
          <w:sz w:val="24"/>
          <w:szCs w:val="24"/>
          <w:lang w:val="bs-Latn"/>
        </w:rPr>
        <w:t xml:space="preserve">je </w:t>
      </w:r>
      <w:r w:rsidR="0082138D">
        <w:rPr>
          <w:rFonts w:cstheme="minorHAnsi"/>
          <w:sz w:val="24"/>
          <w:szCs w:val="24"/>
          <w:lang w:val="bs-Latn"/>
        </w:rPr>
        <w:t>115,</w:t>
      </w:r>
      <w:r w:rsidR="0088063E">
        <w:rPr>
          <w:rFonts w:cstheme="minorHAnsi"/>
          <w:sz w:val="24"/>
          <w:szCs w:val="24"/>
          <w:lang w:val="bs-Latn"/>
        </w:rPr>
        <w:t>52 % u odnosu na ostvarenje u 2024. godini, odnosno 98,45 % u odnosu na tekući plan.</w:t>
      </w:r>
    </w:p>
    <w:p w14:paraId="210750ED" w14:textId="77777777" w:rsidR="00F02B9A" w:rsidRDefault="00F02B9A" w:rsidP="0082138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1CE8857A" w14:textId="6ADC5074" w:rsidR="0088063E" w:rsidRPr="00F02B9A" w:rsidRDefault="0088063E" w:rsidP="00F02B9A">
      <w:pPr>
        <w:pStyle w:val="Odlomakpopisa"/>
        <w:spacing w:after="0" w:line="240" w:lineRule="auto"/>
        <w:ind w:left="708"/>
        <w:rPr>
          <w:rFonts w:cstheme="minorHAnsi"/>
          <w:b/>
          <w:sz w:val="24"/>
          <w:szCs w:val="24"/>
          <w:u w:val="single"/>
          <w:lang w:val="bs-Latn"/>
        </w:rPr>
      </w:pPr>
      <w:r w:rsidRPr="00F02B9A">
        <w:rPr>
          <w:rFonts w:cstheme="minorHAnsi"/>
          <w:b/>
          <w:sz w:val="24"/>
          <w:szCs w:val="24"/>
          <w:u w:val="single"/>
          <w:lang w:val="bs-Latn"/>
        </w:rPr>
        <w:t>Račun financiranja</w:t>
      </w:r>
    </w:p>
    <w:p w14:paraId="724EA480" w14:textId="77777777" w:rsidR="00F15084" w:rsidRDefault="00F15084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24EA481" w14:textId="715ED6CB" w:rsidR="00F15084" w:rsidRDefault="004263FD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  <w:r>
        <w:rPr>
          <w:rFonts w:cstheme="minorHAnsi"/>
          <w:sz w:val="24"/>
          <w:szCs w:val="24"/>
          <w:lang w:val="bs-Latn"/>
        </w:rPr>
        <w:t xml:space="preserve">     </w:t>
      </w:r>
      <w:r w:rsidR="0088063E">
        <w:rPr>
          <w:rFonts w:cstheme="minorHAnsi"/>
          <w:sz w:val="24"/>
          <w:szCs w:val="24"/>
          <w:lang w:val="bs-Latn"/>
        </w:rPr>
        <w:t>Gimnazija Daruvar nema primitaka od financijske imovine i zaduživanja kao ni izdatke za financijsku imovinu i otplatu zajmova, stoga Račun financiranja nije izrađen.</w:t>
      </w:r>
    </w:p>
    <w:p w14:paraId="724EA482" w14:textId="77777777" w:rsidR="00F15084" w:rsidRDefault="00F15084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BC7EE8B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401742C2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5768D47B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6BAC61E0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4F33BD7E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0EF97301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12BD93E1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0DDEE027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3A4A0199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442C24B9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6C899463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50E893B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49B39298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090BBC4C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22435261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0BBC1182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48F85987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A8F7DCF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6DDA725F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062903C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10443307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2366564E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2809C21C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54977010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50B2EC0E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B16B18B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30A6273F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13C5834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3310A533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209E54FE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1968627F" w14:textId="77777777" w:rsidR="00E74B9A" w:rsidRDefault="00E74B9A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24EA483" w14:textId="77777777" w:rsidR="00F7555D" w:rsidRPr="00F7555D" w:rsidRDefault="00F7555D" w:rsidP="00F7555D">
      <w:pPr>
        <w:pStyle w:val="Odlomakpopisa"/>
        <w:spacing w:after="0" w:line="240" w:lineRule="auto"/>
        <w:ind w:left="0"/>
        <w:rPr>
          <w:rFonts w:cstheme="minorHAnsi"/>
          <w:sz w:val="24"/>
          <w:szCs w:val="24"/>
          <w:lang w:val="bs-Latn"/>
        </w:rPr>
      </w:pPr>
    </w:p>
    <w:p w14:paraId="724EA484" w14:textId="77777777" w:rsidR="00EF3B28" w:rsidRPr="002856D3" w:rsidRDefault="009118A2" w:rsidP="00310F82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2856D3">
        <w:rPr>
          <w:b/>
          <w:iCs/>
          <w:sz w:val="24"/>
          <w:szCs w:val="24"/>
        </w:rPr>
        <w:lastRenderedPageBreak/>
        <w:t>II. Obrazloženje posebnog dijela izvještaja o izvršenju financijskog plana</w:t>
      </w:r>
    </w:p>
    <w:p w14:paraId="724EA485" w14:textId="77777777" w:rsidR="00430FA3" w:rsidRDefault="00430FA3" w:rsidP="00B204AB">
      <w:pPr>
        <w:spacing w:after="0" w:line="240" w:lineRule="auto"/>
        <w:rPr>
          <w:iCs/>
          <w:sz w:val="24"/>
          <w:szCs w:val="24"/>
        </w:rPr>
      </w:pPr>
    </w:p>
    <w:p w14:paraId="724EA486" w14:textId="77777777" w:rsidR="00430FA3" w:rsidRDefault="00430FA3" w:rsidP="00B204AB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  <w:r w:rsidRPr="00430FA3">
        <w:rPr>
          <w:iCs/>
          <w:sz w:val="24"/>
          <w:szCs w:val="24"/>
        </w:rPr>
        <w:t xml:space="preserve">Obrazloženje posebnog dijela izvještaja </w:t>
      </w:r>
      <w:r>
        <w:rPr>
          <w:iCs/>
          <w:sz w:val="24"/>
          <w:szCs w:val="24"/>
        </w:rPr>
        <w:t xml:space="preserve">o izvršenju financijskog plana </w:t>
      </w:r>
      <w:r w:rsidRPr="00430FA3">
        <w:rPr>
          <w:iCs/>
          <w:sz w:val="24"/>
          <w:szCs w:val="24"/>
        </w:rPr>
        <w:t>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724EA487" w14:textId="77777777" w:rsidR="004A2683" w:rsidRDefault="004A2683" w:rsidP="00B204AB">
      <w:pPr>
        <w:spacing w:after="0" w:line="240" w:lineRule="auto"/>
        <w:rPr>
          <w:iCs/>
          <w:sz w:val="24"/>
          <w:szCs w:val="24"/>
        </w:rPr>
      </w:pPr>
    </w:p>
    <w:p w14:paraId="724EA488" w14:textId="09B05DA4" w:rsidR="001B64DA" w:rsidRDefault="004A2683" w:rsidP="00B204AB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Izvršenje </w:t>
      </w:r>
      <w:r w:rsidR="00D6788A">
        <w:rPr>
          <w:iCs/>
          <w:sz w:val="24"/>
          <w:szCs w:val="24"/>
        </w:rPr>
        <w:t>programa financijskog plana 2025</w:t>
      </w:r>
      <w:r>
        <w:rPr>
          <w:iCs/>
          <w:sz w:val="24"/>
          <w:szCs w:val="24"/>
        </w:rPr>
        <w:t>.godine</w:t>
      </w:r>
      <w:r w:rsidR="009B4C55">
        <w:rPr>
          <w:iCs/>
          <w:sz w:val="24"/>
          <w:szCs w:val="24"/>
        </w:rPr>
        <w:t>:</w:t>
      </w: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4255"/>
        <w:gridCol w:w="1501"/>
        <w:gridCol w:w="1501"/>
        <w:gridCol w:w="1390"/>
      </w:tblGrid>
      <w:tr w:rsidR="001B64DA" w:rsidRPr="00F35A70" w14:paraId="724EA48F" w14:textId="77777777" w:rsidTr="00D27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9" w14:textId="77777777" w:rsidR="001B64DA" w:rsidRPr="00F35A70" w:rsidRDefault="001B64DA" w:rsidP="00461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A" w14:textId="77777777" w:rsidR="001B64DA" w:rsidRPr="00F35A70" w:rsidRDefault="001B64DA" w:rsidP="00461C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B" w14:textId="0C56C669" w:rsidR="001B64DA" w:rsidRPr="00F35A70" w:rsidRDefault="00461CA7" w:rsidP="00AE59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CD7DB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god.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C" w14:textId="66880C8F" w:rsidR="001B64DA" w:rsidRPr="00F35A70" w:rsidRDefault="00461CA7" w:rsidP="00AE59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2025</w:t>
            </w:r>
            <w:r w:rsidR="00CD7DB7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god.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4EA48D" w14:textId="77777777" w:rsidR="001B64DA" w:rsidRDefault="00CD7DB7" w:rsidP="00AE59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</w:t>
            </w:r>
          </w:p>
          <w:p w14:paraId="724EA48E" w14:textId="77777777" w:rsidR="00CD7DB7" w:rsidRPr="00F35A70" w:rsidRDefault="00CD7DB7" w:rsidP="00AE59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1B64DA" w:rsidRPr="00F35A70" w14:paraId="724EA495" w14:textId="77777777" w:rsidTr="00D27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0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1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 Redovne djelatnosti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2" w14:textId="7201300A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957.230,00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3" w14:textId="4795EE7D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941.052,93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4" w14:textId="1E65F90D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98,31</w:t>
            </w:r>
          </w:p>
        </w:tc>
      </w:tr>
      <w:tr w:rsidR="001B64DA" w:rsidRPr="00F35A70" w14:paraId="724EA49B" w14:textId="77777777" w:rsidTr="00D27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6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7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P16 Srednjoškolsko obrazovanje - decentralizacija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8" w14:textId="0D967B2C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83.520,00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9" w14:textId="57A86D7F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83.520,00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A" w14:textId="2EBB87D0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100,00</w:t>
            </w:r>
          </w:p>
        </w:tc>
      </w:tr>
      <w:tr w:rsidR="001B64DA" w:rsidRPr="00F35A70" w14:paraId="724EA4A1" w14:textId="77777777" w:rsidTr="00D27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9C" w14:textId="77777777" w:rsidR="001B64DA" w:rsidRPr="00F35A70" w:rsidRDefault="001B64D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D" w14:textId="77777777" w:rsidR="001B64DA" w:rsidRPr="00F35A70" w:rsidRDefault="001B64DA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sz w:val="24"/>
                <w:szCs w:val="24"/>
              </w:rPr>
              <w:t>P17 Srednjoškolsko obrazovanje – iznad standarda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E" w14:textId="60108D78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9F" w14:textId="60EF8B07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4.553,70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0" w14:textId="2EE479E4" w:rsidR="001B64DA" w:rsidRPr="00F35A70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99,49</w:t>
            </w:r>
          </w:p>
        </w:tc>
      </w:tr>
      <w:tr w:rsidR="00461CA7" w:rsidRPr="00F35A70" w14:paraId="724EA4A7" w14:textId="77777777" w:rsidTr="00D27B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2" w14:textId="4999EECF" w:rsidR="00461CA7" w:rsidRPr="00F35A70" w:rsidRDefault="00461CA7" w:rsidP="00D27B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3" w14:textId="7C34831D" w:rsidR="00461CA7" w:rsidRPr="00F35A70" w:rsidRDefault="00461CA7" w:rsidP="00D27B75">
            <w:pPr>
              <w:rPr>
                <w:rFonts w:cstheme="minorHAnsi"/>
                <w:sz w:val="24"/>
                <w:szCs w:val="24"/>
              </w:rPr>
            </w:pPr>
            <w:r w:rsidRPr="00F35A70">
              <w:rPr>
                <w:rFonts w:cstheme="minorHAnsi"/>
                <w:b/>
                <w:sz w:val="24"/>
                <w:szCs w:val="24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4" w14:textId="52B8B078" w:rsidR="00461CA7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1.045.307,00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5" w14:textId="4C251448" w:rsidR="00461CA7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1.029.126,63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4A6" w14:textId="0A744C75" w:rsidR="00461CA7" w:rsidRDefault="00461CA7" w:rsidP="00D27B75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98,45</w:t>
            </w:r>
          </w:p>
        </w:tc>
      </w:tr>
    </w:tbl>
    <w:p w14:paraId="724EA4AE" w14:textId="77777777" w:rsidR="001B64DA" w:rsidRDefault="001B64DA" w:rsidP="00B204AB">
      <w:pPr>
        <w:spacing w:after="0" w:line="240" w:lineRule="auto"/>
        <w:rPr>
          <w:iCs/>
          <w:sz w:val="24"/>
          <w:szCs w:val="24"/>
        </w:rPr>
      </w:pPr>
    </w:p>
    <w:p w14:paraId="724EA4AF" w14:textId="77777777" w:rsidR="009118A2" w:rsidRDefault="009118A2" w:rsidP="00B204AB">
      <w:pPr>
        <w:spacing w:after="0" w:line="240" w:lineRule="auto"/>
        <w:rPr>
          <w:iCs/>
          <w:sz w:val="24"/>
          <w:szCs w:val="24"/>
        </w:rPr>
      </w:pPr>
    </w:p>
    <w:p w14:paraId="724EA4B0" w14:textId="77777777" w:rsidR="009118A2" w:rsidRPr="00574AF3" w:rsidRDefault="009118A2" w:rsidP="009118A2">
      <w:pPr>
        <w:rPr>
          <w:rFonts w:cstheme="minorHAnsi"/>
          <w:b/>
          <w:sz w:val="24"/>
          <w:szCs w:val="24"/>
          <w:u w:val="single"/>
        </w:rPr>
      </w:pPr>
      <w:r w:rsidRPr="00574AF3">
        <w:rPr>
          <w:rFonts w:cstheme="minorHAnsi"/>
          <w:b/>
          <w:sz w:val="24"/>
          <w:szCs w:val="24"/>
          <w:u w:val="single"/>
        </w:rPr>
        <w:t>NAZIV PROGRAMA:</w:t>
      </w:r>
      <w:r w:rsidR="00430FA3" w:rsidRPr="00574AF3">
        <w:rPr>
          <w:rFonts w:cstheme="minorHAnsi"/>
          <w:b/>
          <w:sz w:val="24"/>
          <w:szCs w:val="24"/>
          <w:u w:val="single"/>
        </w:rPr>
        <w:t xml:space="preserve">  </w:t>
      </w:r>
      <w:r w:rsidRPr="00574AF3">
        <w:rPr>
          <w:rFonts w:cstheme="minorHAnsi"/>
          <w:sz w:val="24"/>
          <w:szCs w:val="24"/>
          <w:u w:val="single"/>
        </w:rPr>
        <w:t>P1 Redovne djelatnosti</w:t>
      </w:r>
    </w:p>
    <w:p w14:paraId="724EA4B1" w14:textId="77777777" w:rsidR="009118A2" w:rsidRPr="00F35A70" w:rsidRDefault="009118A2" w:rsidP="009118A2">
      <w:pPr>
        <w:adjustRightInd w:val="0"/>
        <w:rPr>
          <w:rFonts w:cstheme="minorHAnsi"/>
          <w:b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>OPIS PROGRAMA:</w:t>
      </w:r>
    </w:p>
    <w:p w14:paraId="724EA4B2" w14:textId="77777777" w:rsidR="009118A2" w:rsidRDefault="009118A2" w:rsidP="009118A2">
      <w:pPr>
        <w:adjustRightInd w:val="0"/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Pr="00F35A70">
        <w:rPr>
          <w:rFonts w:cstheme="minorHAnsi"/>
          <w:sz w:val="24"/>
          <w:szCs w:val="24"/>
        </w:rPr>
        <w:t xml:space="preserve">Program redovne djelatnosti odnosi se na </w:t>
      </w:r>
      <w:r w:rsidR="00A265B4">
        <w:rPr>
          <w:rFonts w:cstheme="minorHAnsi"/>
          <w:sz w:val="24"/>
          <w:szCs w:val="24"/>
        </w:rPr>
        <w:t xml:space="preserve">vlastita sredstva te </w:t>
      </w:r>
      <w:r w:rsidRPr="00F35A70">
        <w:rPr>
          <w:rFonts w:cstheme="minorHAnsi"/>
          <w:sz w:val="24"/>
          <w:szCs w:val="24"/>
        </w:rPr>
        <w:t>sredstva za isplatu plaća i naknada zaposleni</w:t>
      </w:r>
      <w:r w:rsidR="00A265B4">
        <w:rPr>
          <w:rFonts w:cstheme="minorHAnsi"/>
          <w:sz w:val="24"/>
          <w:szCs w:val="24"/>
        </w:rPr>
        <w:t>cima.</w:t>
      </w:r>
    </w:p>
    <w:p w14:paraId="724EA4B3" w14:textId="77777777" w:rsidR="00FF23BF" w:rsidRDefault="00FF23BF" w:rsidP="00FF23BF">
      <w:pPr>
        <w:adjustRightInd w:val="0"/>
        <w:rPr>
          <w:rFonts w:cstheme="minorHAnsi"/>
          <w:b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33DCA6EA" w14:textId="32FC272A" w:rsidR="005D04F6" w:rsidRPr="00FF23BF" w:rsidRDefault="00FF23BF" w:rsidP="00FF23BF">
      <w:pPr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7B744F">
        <w:rPr>
          <w:rFonts w:cstheme="minorHAnsi"/>
          <w:sz w:val="24"/>
          <w:szCs w:val="24"/>
        </w:rPr>
        <w:t>Pos</w:t>
      </w:r>
      <w:r w:rsidR="00644145">
        <w:rPr>
          <w:rFonts w:cstheme="minorHAnsi"/>
          <w:sz w:val="24"/>
          <w:szCs w:val="24"/>
        </w:rPr>
        <w:t xml:space="preserve">tignuti su </w:t>
      </w:r>
      <w:r w:rsidR="006B4147">
        <w:rPr>
          <w:rFonts w:cstheme="minorHAnsi"/>
          <w:sz w:val="24"/>
          <w:szCs w:val="24"/>
        </w:rPr>
        <w:t>ciljevi</w:t>
      </w:r>
      <w:r w:rsidR="007B744F">
        <w:rPr>
          <w:rFonts w:cstheme="minorHAnsi"/>
          <w:sz w:val="24"/>
          <w:szCs w:val="24"/>
        </w:rPr>
        <w:t xml:space="preserve"> </w:t>
      </w:r>
      <w:r w:rsidR="006B4147">
        <w:rPr>
          <w:rFonts w:cstheme="minorHAnsi"/>
          <w:sz w:val="24"/>
          <w:szCs w:val="24"/>
        </w:rPr>
        <w:t xml:space="preserve">u </w:t>
      </w:r>
      <w:r w:rsidR="00644145">
        <w:rPr>
          <w:rFonts w:cstheme="minorHAnsi"/>
          <w:sz w:val="24"/>
          <w:szCs w:val="24"/>
        </w:rPr>
        <w:t>2025</w:t>
      </w:r>
      <w:r w:rsidRPr="00FF23BF">
        <w:rPr>
          <w:rFonts w:cstheme="minorHAnsi"/>
          <w:sz w:val="24"/>
          <w:szCs w:val="24"/>
        </w:rPr>
        <w:t>. godini, izvršena je is</w:t>
      </w:r>
      <w:r w:rsidR="00C42BA6">
        <w:rPr>
          <w:rFonts w:cstheme="minorHAnsi"/>
          <w:sz w:val="24"/>
          <w:szCs w:val="24"/>
        </w:rPr>
        <w:t>plata plaća te naknada troškova zaposlenika i podmirene sve tekuće obveze škole</w:t>
      </w:r>
      <w:r w:rsidRPr="00FF23BF">
        <w:rPr>
          <w:rFonts w:cstheme="minorHAnsi"/>
          <w:sz w:val="24"/>
          <w:szCs w:val="24"/>
        </w:rPr>
        <w:t xml:space="preserve">. </w:t>
      </w:r>
    </w:p>
    <w:p w14:paraId="724EA4B5" w14:textId="77777777" w:rsidR="009118A2" w:rsidRPr="00F35A70" w:rsidRDefault="009118A2" w:rsidP="009118A2">
      <w:pPr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Pr="00F35A70">
        <w:rPr>
          <w:rFonts w:cstheme="minorHAnsi"/>
          <w:b/>
          <w:sz w:val="24"/>
          <w:szCs w:val="24"/>
        </w:rPr>
        <w:t xml:space="preserve">     A000283</w:t>
      </w:r>
      <w:r w:rsidRPr="00F35A70">
        <w:rPr>
          <w:rFonts w:cstheme="minorHAnsi"/>
          <w:sz w:val="24"/>
          <w:szCs w:val="24"/>
        </w:rPr>
        <w:t xml:space="preserve"> – Redo</w:t>
      </w:r>
      <w:r w:rsidR="005C4C2C">
        <w:rPr>
          <w:rFonts w:cstheme="minorHAnsi"/>
          <w:sz w:val="24"/>
          <w:szCs w:val="24"/>
        </w:rPr>
        <w:t>vna djelatnost SŠ -VS korisnika</w:t>
      </w:r>
    </w:p>
    <w:p w14:paraId="724EA4B6" w14:textId="77777777" w:rsidR="005C4C2C" w:rsidRPr="00F35A70" w:rsidRDefault="009118A2" w:rsidP="009118A2">
      <w:pPr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C42BA6">
        <w:rPr>
          <w:rFonts w:cstheme="minorHAnsi"/>
          <w:sz w:val="24"/>
          <w:szCs w:val="24"/>
        </w:rPr>
        <w:t>Ostvarenje na ovoj aktivnosti odnosi se na sredstva</w:t>
      </w:r>
      <w:r w:rsidRPr="00F35A70">
        <w:rPr>
          <w:rFonts w:cstheme="minorHAnsi"/>
          <w:sz w:val="24"/>
          <w:szCs w:val="24"/>
        </w:rPr>
        <w:t xml:space="preserve"> za plaće </w:t>
      </w:r>
      <w:r w:rsidR="00A265B4">
        <w:rPr>
          <w:rFonts w:cstheme="minorHAnsi"/>
          <w:sz w:val="24"/>
          <w:szCs w:val="24"/>
        </w:rPr>
        <w:t>i naknade troškova zaposlenika te</w:t>
      </w:r>
      <w:r w:rsidRPr="00F35A70">
        <w:rPr>
          <w:rFonts w:cstheme="minorHAnsi"/>
          <w:sz w:val="24"/>
          <w:szCs w:val="24"/>
        </w:rPr>
        <w:t xml:space="preserve"> vlastita sredstva</w:t>
      </w:r>
      <w:r w:rsidR="005C4C2C">
        <w:rPr>
          <w:rFonts w:cstheme="minorHAnsi"/>
          <w:sz w:val="24"/>
          <w:szCs w:val="24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18A2" w:rsidRPr="00F35A70" w14:paraId="724EA4BA" w14:textId="77777777" w:rsidTr="00D27B75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24EA4B7" w14:textId="1A147037" w:rsidR="009118A2" w:rsidRPr="00F35A70" w:rsidRDefault="007D24AA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22390C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B8" w14:textId="318BD107" w:rsidR="009118A2" w:rsidRPr="00F35A70" w:rsidRDefault="0022390C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Izvršenje </w:t>
            </w:r>
            <w:r w:rsidR="007D24AA">
              <w:rPr>
                <w:rFonts w:cstheme="minorHAnsi"/>
                <w:b/>
                <w:sz w:val="24"/>
                <w:szCs w:val="24"/>
              </w:rPr>
              <w:t>2025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B9" w14:textId="77777777" w:rsidR="009118A2" w:rsidRPr="00F35A70" w:rsidRDefault="0022390C" w:rsidP="00D27B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4BE" w14:textId="77777777" w:rsidTr="00D27B75">
        <w:trPr>
          <w:trHeight w:val="342"/>
        </w:trPr>
        <w:tc>
          <w:tcPr>
            <w:tcW w:w="3020" w:type="dxa"/>
            <w:tcBorders>
              <w:bottom w:val="single" w:sz="4" w:space="0" w:color="auto"/>
            </w:tcBorders>
          </w:tcPr>
          <w:p w14:paraId="724EA4BB" w14:textId="0A5836B4" w:rsidR="009118A2" w:rsidRPr="00F35A70" w:rsidRDefault="007D24A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957.230,00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24EA4BC" w14:textId="686D73B8" w:rsidR="009118A2" w:rsidRPr="00F35A70" w:rsidRDefault="007D24A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941.052,93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24EA4BD" w14:textId="1518AB31" w:rsidR="009118A2" w:rsidRPr="00F35A70" w:rsidRDefault="007D24AA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98,31</w:t>
            </w:r>
          </w:p>
        </w:tc>
      </w:tr>
    </w:tbl>
    <w:p w14:paraId="724EA4BF" w14:textId="77777777" w:rsidR="00477738" w:rsidRPr="00AE728A" w:rsidRDefault="00477738" w:rsidP="00477738">
      <w:pPr>
        <w:spacing w:after="0" w:line="240" w:lineRule="auto"/>
        <w:rPr>
          <w:rFonts w:cstheme="minorHAnsi"/>
          <w:sz w:val="24"/>
          <w:szCs w:val="24"/>
        </w:rPr>
      </w:pPr>
    </w:p>
    <w:p w14:paraId="724EA4C0" w14:textId="77777777" w:rsidR="009118A2" w:rsidRDefault="00C42BA6" w:rsidP="0047773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</w:t>
      </w:r>
      <w:r w:rsidR="00F87F12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p w14:paraId="724EA4C1" w14:textId="77777777" w:rsidR="00477738" w:rsidRPr="00F35A70" w:rsidRDefault="00477738" w:rsidP="0047773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StilTablice"/>
        <w:tblW w:w="7859" w:type="dxa"/>
        <w:jc w:val="center"/>
        <w:tblLook w:val="04A0" w:firstRow="1" w:lastRow="0" w:firstColumn="1" w:lastColumn="0" w:noHBand="0" w:noVBand="1"/>
      </w:tblPr>
      <w:tblGrid>
        <w:gridCol w:w="1602"/>
        <w:gridCol w:w="1697"/>
        <w:gridCol w:w="936"/>
        <w:gridCol w:w="1208"/>
        <w:gridCol w:w="1208"/>
        <w:gridCol w:w="1208"/>
      </w:tblGrid>
      <w:tr w:rsidR="00B37904" w:rsidRPr="00F35A70" w14:paraId="724EA4C8" w14:textId="77777777" w:rsidTr="00C42BA6">
        <w:trPr>
          <w:jc w:val="center"/>
        </w:trPr>
        <w:tc>
          <w:tcPr>
            <w:tcW w:w="1602" w:type="dxa"/>
            <w:shd w:val="clear" w:color="auto" w:fill="B5C0D8"/>
          </w:tcPr>
          <w:p w14:paraId="724EA4C2" w14:textId="77777777" w:rsidR="00C42BA6" w:rsidRPr="00F35A70" w:rsidRDefault="004A1C00" w:rsidP="00D27B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697" w:type="dxa"/>
            <w:shd w:val="clear" w:color="auto" w:fill="B5C0D8"/>
          </w:tcPr>
          <w:p w14:paraId="724EA4C3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36" w:type="dxa"/>
            <w:shd w:val="clear" w:color="auto" w:fill="B5C0D8"/>
          </w:tcPr>
          <w:p w14:paraId="724EA4C4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08" w:type="dxa"/>
            <w:shd w:val="clear" w:color="auto" w:fill="B5C0D8"/>
          </w:tcPr>
          <w:p w14:paraId="724EA4C5" w14:textId="77777777" w:rsidR="00C42BA6" w:rsidRPr="00F35A70" w:rsidRDefault="00C42BA6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08" w:type="dxa"/>
            <w:shd w:val="clear" w:color="auto" w:fill="B5C0D8"/>
          </w:tcPr>
          <w:p w14:paraId="724EA4C6" w14:textId="77777777" w:rsidR="00C42BA6" w:rsidRPr="00F35A70" w:rsidRDefault="00B37904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208" w:type="dxa"/>
            <w:shd w:val="clear" w:color="auto" w:fill="B5C0D8"/>
          </w:tcPr>
          <w:p w14:paraId="724EA4C7" w14:textId="77777777" w:rsidR="00C42BA6" w:rsidRPr="00F35A70" w:rsidRDefault="00B37904" w:rsidP="00D27B75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B37904" w:rsidRPr="00F35A70" w14:paraId="724EA4D4" w14:textId="77777777" w:rsidTr="00C42BA6">
        <w:trPr>
          <w:jc w:val="center"/>
        </w:trPr>
        <w:tc>
          <w:tcPr>
            <w:tcW w:w="1602" w:type="dxa"/>
          </w:tcPr>
          <w:p w14:paraId="724EA4C9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</w:t>
            </w:r>
          </w:p>
          <w:p w14:paraId="724EA4CA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planiranih programa</w:t>
            </w:r>
          </w:p>
        </w:tc>
        <w:tc>
          <w:tcPr>
            <w:tcW w:w="1697" w:type="dxa"/>
          </w:tcPr>
          <w:p w14:paraId="724EA4CB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zaposlenika,</w:t>
            </w:r>
          </w:p>
          <w:p w14:paraId="724EA4CC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te broj</w:t>
            </w:r>
          </w:p>
          <w:p w14:paraId="724EA4CD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uključenih</w:t>
            </w:r>
          </w:p>
          <w:p w14:paraId="724EA4CE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učenika i</w:t>
            </w:r>
          </w:p>
          <w:p w14:paraId="724EA4CF" w14:textId="77777777" w:rsidR="00C42BA6" w:rsidRPr="00F35A70" w:rsidRDefault="00C42BA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učitelja</w:t>
            </w:r>
          </w:p>
        </w:tc>
        <w:tc>
          <w:tcPr>
            <w:tcW w:w="936" w:type="dxa"/>
          </w:tcPr>
          <w:p w14:paraId="724EA4D0" w14:textId="77777777" w:rsidR="00C42BA6" w:rsidRPr="00F35A70" w:rsidRDefault="00C42BA6" w:rsidP="00C42BA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08" w:type="dxa"/>
          </w:tcPr>
          <w:p w14:paraId="724EA4D1" w14:textId="11D2C60F" w:rsidR="00C42BA6" w:rsidRPr="00F35A70" w:rsidRDefault="005D04F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  <w:tc>
          <w:tcPr>
            <w:tcW w:w="1208" w:type="dxa"/>
          </w:tcPr>
          <w:p w14:paraId="724EA4D2" w14:textId="7E777BC6" w:rsidR="00C42BA6" w:rsidRPr="00F35A70" w:rsidRDefault="005D04F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957.230,00</w:t>
            </w:r>
          </w:p>
        </w:tc>
        <w:tc>
          <w:tcPr>
            <w:tcW w:w="1208" w:type="dxa"/>
          </w:tcPr>
          <w:p w14:paraId="724EA4D3" w14:textId="1240C123" w:rsidR="00C42BA6" w:rsidRPr="00F35A70" w:rsidRDefault="005D04F6" w:rsidP="00C42BA6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941.052,93</w:t>
            </w:r>
          </w:p>
        </w:tc>
      </w:tr>
    </w:tbl>
    <w:p w14:paraId="141D6D7F" w14:textId="77777777" w:rsidR="00AA5FF5" w:rsidRDefault="00AA5FF5" w:rsidP="009B2477">
      <w:pPr>
        <w:rPr>
          <w:rFonts w:cstheme="minorHAnsi"/>
          <w:b/>
          <w:sz w:val="24"/>
          <w:szCs w:val="24"/>
          <w:u w:val="single"/>
        </w:rPr>
      </w:pPr>
    </w:p>
    <w:p w14:paraId="724EA4D5" w14:textId="77777777" w:rsidR="009118A2" w:rsidRPr="009B2477" w:rsidRDefault="009B2477" w:rsidP="009B2477">
      <w:pPr>
        <w:rPr>
          <w:rFonts w:cstheme="minorHAnsi"/>
          <w:b/>
          <w:sz w:val="24"/>
          <w:szCs w:val="24"/>
          <w:u w:val="single"/>
        </w:rPr>
      </w:pPr>
      <w:r w:rsidRPr="009B2477">
        <w:rPr>
          <w:rFonts w:cstheme="minorHAnsi"/>
          <w:b/>
          <w:sz w:val="24"/>
          <w:szCs w:val="24"/>
          <w:u w:val="single"/>
        </w:rPr>
        <w:lastRenderedPageBreak/>
        <w:t xml:space="preserve">NAZIV PROGRAMA: </w:t>
      </w:r>
      <w:r w:rsidR="009118A2" w:rsidRPr="009B2477">
        <w:rPr>
          <w:rFonts w:cstheme="minorHAnsi"/>
          <w:sz w:val="24"/>
          <w:szCs w:val="24"/>
          <w:u w:val="single"/>
        </w:rPr>
        <w:t xml:space="preserve">P16 Srednjoškolsko obrazovanje - decentralizacija </w:t>
      </w:r>
    </w:p>
    <w:p w14:paraId="724EA4D6" w14:textId="77777777" w:rsidR="009118A2" w:rsidRPr="00F35A70" w:rsidRDefault="009B2477" w:rsidP="009118A2">
      <w:pPr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14:paraId="724EA4D7" w14:textId="77777777" w:rsidR="009118A2" w:rsidRDefault="009118A2" w:rsidP="009118A2">
      <w:pPr>
        <w:adjustRightInd w:val="0"/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Pr="00F35A70">
        <w:rPr>
          <w:rFonts w:cstheme="minorHAnsi"/>
          <w:sz w:val="24"/>
          <w:szCs w:val="24"/>
        </w:rPr>
        <w:t>Decentralizirana sredstva za srednjoškolsko obr</w:t>
      </w:r>
      <w:r w:rsidR="00A304FB">
        <w:rPr>
          <w:rFonts w:cstheme="minorHAnsi"/>
          <w:sz w:val="24"/>
          <w:szCs w:val="24"/>
        </w:rPr>
        <w:t>azovanje</w:t>
      </w:r>
      <w:r w:rsidR="009B2477">
        <w:rPr>
          <w:rFonts w:cstheme="minorHAnsi"/>
          <w:sz w:val="24"/>
          <w:szCs w:val="24"/>
        </w:rPr>
        <w:t xml:space="preserve"> </w:t>
      </w:r>
      <w:r w:rsidRPr="00F35A70">
        <w:rPr>
          <w:rFonts w:cstheme="minorHAnsi"/>
          <w:bCs/>
          <w:sz w:val="24"/>
          <w:szCs w:val="24"/>
        </w:rPr>
        <w:t xml:space="preserve">namijenjena su </w:t>
      </w:r>
      <w:r w:rsidRPr="00F35A70">
        <w:rPr>
          <w:rFonts w:cstheme="minorHAnsi"/>
          <w:sz w:val="24"/>
          <w:szCs w:val="24"/>
        </w:rPr>
        <w:t>za materijalne i financijske rashode, rashode za tekuće i investicijsko održavanje, rashode za nabavu proizvedene dugotrajne imovine i dodatna ulaganja na nefinancijskoj imovini.</w:t>
      </w:r>
    </w:p>
    <w:p w14:paraId="724EA4D8" w14:textId="77777777" w:rsidR="009B2477" w:rsidRDefault="009B2477" w:rsidP="009B2477">
      <w:pPr>
        <w:adjustRightInd w:val="0"/>
        <w:rPr>
          <w:rFonts w:cstheme="minorHAnsi"/>
          <w:b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724EA4D9" w14:textId="10C13C3D" w:rsidR="00C46F9A" w:rsidRDefault="009B2477" w:rsidP="00C46F9A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A94286">
        <w:rPr>
          <w:rFonts w:cstheme="minorHAnsi"/>
          <w:sz w:val="24"/>
          <w:szCs w:val="24"/>
        </w:rPr>
        <w:t>Postignuti su svi ciljevi u 2025</w:t>
      </w:r>
      <w:r w:rsidRPr="009B2477">
        <w:rPr>
          <w:rFonts w:cstheme="minorHAnsi"/>
          <w:sz w:val="24"/>
          <w:szCs w:val="24"/>
        </w:rPr>
        <w:t>. godini jer su dec</w:t>
      </w:r>
      <w:r>
        <w:rPr>
          <w:rFonts w:cstheme="minorHAnsi"/>
          <w:sz w:val="24"/>
          <w:szCs w:val="24"/>
        </w:rPr>
        <w:t xml:space="preserve">entralizirana sredstva </w:t>
      </w:r>
      <w:r w:rsidRPr="009B2477">
        <w:rPr>
          <w:rFonts w:cstheme="minorHAnsi"/>
          <w:sz w:val="24"/>
          <w:szCs w:val="24"/>
        </w:rPr>
        <w:t>namjenski utrošena za materijalne i financijske rashode, inves</w:t>
      </w:r>
      <w:r w:rsidR="001F35A5">
        <w:rPr>
          <w:rFonts w:cstheme="minorHAnsi"/>
          <w:sz w:val="24"/>
          <w:szCs w:val="24"/>
        </w:rPr>
        <w:t>ticijsko i tekuće održavanje te nabavku nove opreme.</w:t>
      </w:r>
    </w:p>
    <w:p w14:paraId="4AA0946C" w14:textId="77777777" w:rsidR="00186350" w:rsidRDefault="00186350" w:rsidP="00C46F9A">
      <w:pPr>
        <w:tabs>
          <w:tab w:val="left" w:pos="567"/>
        </w:tabs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EA4DB" w14:textId="0D6AC0F0" w:rsidR="009118A2" w:rsidRPr="00682C86" w:rsidRDefault="00186350" w:rsidP="00C46F9A">
      <w:pPr>
        <w:tabs>
          <w:tab w:val="left" w:pos="567"/>
        </w:tabs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118A2" w:rsidRPr="00F35A70">
        <w:rPr>
          <w:rFonts w:cstheme="minorHAnsi"/>
          <w:b/>
          <w:bCs/>
          <w:sz w:val="24"/>
          <w:szCs w:val="24"/>
        </w:rPr>
        <w:t xml:space="preserve">A000204 </w:t>
      </w:r>
      <w:r w:rsidR="009118A2" w:rsidRPr="00682C86">
        <w:rPr>
          <w:rFonts w:cstheme="minorHAnsi"/>
          <w:sz w:val="24"/>
          <w:szCs w:val="24"/>
        </w:rPr>
        <w:t xml:space="preserve">– </w:t>
      </w:r>
      <w:r w:rsidR="00982544" w:rsidRPr="00682C86">
        <w:rPr>
          <w:rFonts w:cstheme="minorHAnsi"/>
          <w:iCs/>
          <w:sz w:val="24"/>
          <w:szCs w:val="24"/>
        </w:rPr>
        <w:t>Redovna djelatnost SŠ –dec</w:t>
      </w:r>
    </w:p>
    <w:p w14:paraId="724EA4DC" w14:textId="77777777" w:rsidR="00DB7BCF" w:rsidRPr="00013677" w:rsidRDefault="00DB7BCF" w:rsidP="00C46F9A">
      <w:pPr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724EA4DD" w14:textId="4F6ACE15" w:rsidR="009118A2" w:rsidRDefault="009118A2" w:rsidP="00C46F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982544" w:rsidRPr="00982544">
        <w:rPr>
          <w:rFonts w:cstheme="minorHAnsi"/>
          <w:sz w:val="24"/>
          <w:szCs w:val="24"/>
        </w:rPr>
        <w:t>Ostvarenje na ovoj aktivnosti odnosi se na materijalne</w:t>
      </w:r>
      <w:r w:rsidR="00982544">
        <w:rPr>
          <w:rFonts w:cstheme="minorHAnsi"/>
          <w:sz w:val="24"/>
          <w:szCs w:val="24"/>
        </w:rPr>
        <w:t xml:space="preserve"> i financijske rashode,</w:t>
      </w:r>
      <w:r w:rsidR="00682BC9">
        <w:rPr>
          <w:rFonts w:cstheme="minorHAnsi"/>
          <w:sz w:val="24"/>
          <w:szCs w:val="24"/>
        </w:rPr>
        <w:t xml:space="preserve"> rashode za usluge, p</w:t>
      </w:r>
      <w:bookmarkStart w:id="0" w:name="_GoBack"/>
      <w:bookmarkEnd w:id="0"/>
      <w:r w:rsidR="00982544" w:rsidRPr="00982544">
        <w:rPr>
          <w:rFonts w:cstheme="minorHAnsi"/>
          <w:sz w:val="24"/>
          <w:szCs w:val="24"/>
        </w:rPr>
        <w:t xml:space="preserve">rijevoz </w:t>
      </w:r>
      <w:r w:rsidR="00982544">
        <w:rPr>
          <w:rFonts w:cstheme="minorHAnsi"/>
          <w:sz w:val="24"/>
          <w:szCs w:val="24"/>
        </w:rPr>
        <w:t>zaposlenika na posao i s posla te isplatu ostalih prava zaposlenicima koja se isplaćuju iz Županijskog proračuna.</w:t>
      </w:r>
      <w:r w:rsidR="00A176A5">
        <w:rPr>
          <w:rFonts w:cstheme="minorHAnsi"/>
          <w:sz w:val="24"/>
          <w:szCs w:val="24"/>
        </w:rPr>
        <w:t xml:space="preserve"> </w:t>
      </w:r>
    </w:p>
    <w:p w14:paraId="724EA4DE" w14:textId="77777777" w:rsidR="00982544" w:rsidRPr="00982544" w:rsidRDefault="00982544" w:rsidP="009825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4DD6" w:rsidRPr="00F35A70" w14:paraId="724EA4E2" w14:textId="77777777" w:rsidTr="00D27B75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724EA4DF" w14:textId="5906D9F8" w:rsidR="00964DD6" w:rsidRPr="00F35A70" w:rsidRDefault="00A94286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964D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E0" w14:textId="466B6317" w:rsidR="00964DD6" w:rsidRPr="00F35A70" w:rsidRDefault="00A94286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2025</w:t>
            </w:r>
            <w:r w:rsidR="00964D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4E1" w14:textId="77777777" w:rsidR="00964DD6" w:rsidRPr="00F35A70" w:rsidRDefault="00964DD6" w:rsidP="00964D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4E6" w14:textId="77777777" w:rsidTr="00D27B75">
        <w:trPr>
          <w:trHeight w:val="342"/>
        </w:trPr>
        <w:tc>
          <w:tcPr>
            <w:tcW w:w="3020" w:type="dxa"/>
          </w:tcPr>
          <w:p w14:paraId="724EA4E3" w14:textId="4814C4D7" w:rsidR="009118A2" w:rsidRPr="00F35A70" w:rsidRDefault="00A94286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80.620,00</w:t>
            </w:r>
          </w:p>
        </w:tc>
        <w:tc>
          <w:tcPr>
            <w:tcW w:w="3021" w:type="dxa"/>
          </w:tcPr>
          <w:p w14:paraId="724EA4E4" w14:textId="5393EC89" w:rsidR="009118A2" w:rsidRPr="00F35A70" w:rsidRDefault="00A94286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81.180,01</w:t>
            </w:r>
          </w:p>
        </w:tc>
        <w:tc>
          <w:tcPr>
            <w:tcW w:w="3021" w:type="dxa"/>
          </w:tcPr>
          <w:p w14:paraId="724EA4E5" w14:textId="52A34000" w:rsidR="00964DD6" w:rsidRPr="00F35A70" w:rsidRDefault="00A94286" w:rsidP="00964DD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100,69</w:t>
            </w:r>
          </w:p>
        </w:tc>
      </w:tr>
    </w:tbl>
    <w:p w14:paraId="4FB49581" w14:textId="77777777" w:rsidR="00186350" w:rsidRDefault="00186350" w:rsidP="00A9428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7D130A" w14:textId="6EB6E05B" w:rsidR="00186350" w:rsidRDefault="00186350" w:rsidP="00A94286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b/>
          <w:bCs/>
          <w:sz w:val="24"/>
          <w:szCs w:val="24"/>
        </w:rPr>
        <w:t>K000036</w:t>
      </w:r>
      <w:r>
        <w:rPr>
          <w:rFonts w:cstheme="minorHAnsi"/>
          <w:bCs/>
          <w:sz w:val="24"/>
          <w:szCs w:val="24"/>
        </w:rPr>
        <w:t xml:space="preserve"> – Ulaganje u opremu SŠ – dec</w:t>
      </w:r>
    </w:p>
    <w:p w14:paraId="3896A68A" w14:textId="77777777" w:rsidR="00186350" w:rsidRDefault="00186350" w:rsidP="00A9428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4B323B6" w14:textId="589A5347" w:rsidR="00186350" w:rsidRDefault="00186350" w:rsidP="001863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340A0">
        <w:rPr>
          <w:rFonts w:cstheme="minorHAnsi"/>
          <w:sz w:val="24"/>
          <w:szCs w:val="24"/>
        </w:rPr>
        <w:t>Ostvarenje na ovom kapitalnom projektu</w:t>
      </w:r>
      <w:r w:rsidRPr="00982544">
        <w:rPr>
          <w:rFonts w:cstheme="minorHAnsi"/>
          <w:sz w:val="24"/>
          <w:szCs w:val="24"/>
        </w:rPr>
        <w:t xml:space="preserve"> odnosi se </w:t>
      </w:r>
      <w:r w:rsidR="001F35A5">
        <w:rPr>
          <w:rFonts w:cstheme="minorHAnsi"/>
          <w:sz w:val="24"/>
          <w:szCs w:val="24"/>
        </w:rPr>
        <w:t>na ulaganj</w:t>
      </w:r>
      <w:r w:rsidR="00DC1356">
        <w:rPr>
          <w:rFonts w:cstheme="minorHAnsi"/>
          <w:sz w:val="24"/>
          <w:szCs w:val="24"/>
        </w:rPr>
        <w:t xml:space="preserve">e u opremu škole, odnosno </w:t>
      </w:r>
      <w:r w:rsidR="001F35A5">
        <w:rPr>
          <w:rFonts w:cstheme="minorHAnsi"/>
          <w:sz w:val="24"/>
          <w:szCs w:val="24"/>
        </w:rPr>
        <w:t>kupnju nove opreme.</w:t>
      </w:r>
    </w:p>
    <w:p w14:paraId="7AB732BB" w14:textId="61223561" w:rsidR="001F35A5" w:rsidRDefault="001F35A5" w:rsidP="001F35A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2025. godini n</w:t>
      </w:r>
      <w:r w:rsidRPr="0095164E">
        <w:rPr>
          <w:rFonts w:cstheme="minorHAnsi"/>
          <w:sz w:val="24"/>
          <w:szCs w:val="24"/>
        </w:rPr>
        <w:t>abavljeno je jedno računalo, šest ormarića i jedan ormar za učionice i kabinete, jedna uredska stolica i jedan mobitel.</w:t>
      </w:r>
    </w:p>
    <w:p w14:paraId="176DEC8A" w14:textId="77777777" w:rsidR="00186350" w:rsidRPr="00982544" w:rsidRDefault="00186350" w:rsidP="001863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6350" w:rsidRPr="00F35A70" w14:paraId="3BE1B9EF" w14:textId="77777777" w:rsidTr="001C4A4C">
        <w:trPr>
          <w:trHeight w:val="335"/>
        </w:trPr>
        <w:tc>
          <w:tcPr>
            <w:tcW w:w="3020" w:type="dxa"/>
            <w:shd w:val="clear" w:color="auto" w:fill="BDD6EE" w:themeFill="accent1" w:themeFillTint="66"/>
          </w:tcPr>
          <w:p w14:paraId="6F182181" w14:textId="77777777" w:rsidR="00186350" w:rsidRPr="00F35A70" w:rsidRDefault="00186350" w:rsidP="001C4A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0BCA349F" w14:textId="77777777" w:rsidR="00186350" w:rsidRPr="00F35A70" w:rsidRDefault="00186350" w:rsidP="001C4A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2025.god.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67517AD2" w14:textId="77777777" w:rsidR="00186350" w:rsidRPr="00F35A70" w:rsidRDefault="00186350" w:rsidP="001C4A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186350" w:rsidRPr="00F35A70" w14:paraId="02096505" w14:textId="77777777" w:rsidTr="001C4A4C">
        <w:trPr>
          <w:trHeight w:val="342"/>
        </w:trPr>
        <w:tc>
          <w:tcPr>
            <w:tcW w:w="3020" w:type="dxa"/>
          </w:tcPr>
          <w:p w14:paraId="5DA6D206" w14:textId="17970393" w:rsidR="00186350" w:rsidRPr="00F35A70" w:rsidRDefault="001F35A5" w:rsidP="001C4A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2.900,00</w:t>
            </w:r>
          </w:p>
        </w:tc>
        <w:tc>
          <w:tcPr>
            <w:tcW w:w="3021" w:type="dxa"/>
          </w:tcPr>
          <w:p w14:paraId="63D425F7" w14:textId="5FC2E44E" w:rsidR="00186350" w:rsidRPr="00F35A70" w:rsidRDefault="001F35A5" w:rsidP="001C4A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2.339,99</w:t>
            </w:r>
          </w:p>
        </w:tc>
        <w:tc>
          <w:tcPr>
            <w:tcW w:w="3021" w:type="dxa"/>
          </w:tcPr>
          <w:p w14:paraId="5CC16340" w14:textId="4587F962" w:rsidR="00186350" w:rsidRPr="00F35A70" w:rsidRDefault="001F35A5" w:rsidP="001C4A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80,69</w:t>
            </w:r>
          </w:p>
        </w:tc>
      </w:tr>
    </w:tbl>
    <w:p w14:paraId="3DC322B4" w14:textId="77777777" w:rsidR="00186350" w:rsidRDefault="00186350" w:rsidP="00A9428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4EA4E9" w14:textId="77777777" w:rsidR="009118A2" w:rsidRDefault="00D9064C" w:rsidP="00A9428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</w:t>
      </w:r>
      <w:r w:rsidR="00013677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p w14:paraId="724EA4EA" w14:textId="77777777" w:rsidR="00A955B6" w:rsidRPr="00F35A70" w:rsidRDefault="00A955B6" w:rsidP="00A94286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StilTablice"/>
        <w:tblW w:w="8116" w:type="dxa"/>
        <w:jc w:val="center"/>
        <w:tblLook w:val="04A0" w:firstRow="1" w:lastRow="0" w:firstColumn="1" w:lastColumn="0" w:noHBand="0" w:noVBand="1"/>
      </w:tblPr>
      <w:tblGrid>
        <w:gridCol w:w="1909"/>
        <w:gridCol w:w="1873"/>
        <w:gridCol w:w="953"/>
        <w:gridCol w:w="1120"/>
        <w:gridCol w:w="1120"/>
        <w:gridCol w:w="1141"/>
      </w:tblGrid>
      <w:tr w:rsidR="00E45C9B" w:rsidRPr="00F35A70" w14:paraId="724EA4F1" w14:textId="77777777" w:rsidTr="00E45C9B">
        <w:trPr>
          <w:jc w:val="center"/>
        </w:trPr>
        <w:tc>
          <w:tcPr>
            <w:tcW w:w="1918" w:type="dxa"/>
            <w:shd w:val="clear" w:color="auto" w:fill="B5C0D8"/>
          </w:tcPr>
          <w:p w14:paraId="724EA4EB" w14:textId="77777777" w:rsidR="00E45C9B" w:rsidRPr="00F35A70" w:rsidRDefault="00E45C9B" w:rsidP="004A1C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Pokazatelj </w:t>
            </w:r>
            <w:r w:rsidR="004A1C00">
              <w:rPr>
                <w:rFonts w:asciiTheme="minorHAnsi" w:hAnsiTheme="minorHAnsi" w:cstheme="minorHAnsi"/>
                <w:b/>
                <w:sz w:val="24"/>
                <w:szCs w:val="24"/>
              </w:rPr>
              <w:t>uspješnosti</w:t>
            </w:r>
          </w:p>
        </w:tc>
        <w:tc>
          <w:tcPr>
            <w:tcW w:w="1884" w:type="dxa"/>
            <w:shd w:val="clear" w:color="auto" w:fill="B5C0D8"/>
          </w:tcPr>
          <w:p w14:paraId="724EA4EC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54" w:type="dxa"/>
            <w:shd w:val="clear" w:color="auto" w:fill="B5C0D8"/>
          </w:tcPr>
          <w:p w14:paraId="724EA4ED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20" w:type="dxa"/>
            <w:shd w:val="clear" w:color="auto" w:fill="B5C0D8"/>
          </w:tcPr>
          <w:p w14:paraId="724EA4EE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120" w:type="dxa"/>
            <w:shd w:val="clear" w:color="auto" w:fill="B5C0D8"/>
          </w:tcPr>
          <w:p w14:paraId="724EA4EF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120" w:type="dxa"/>
            <w:shd w:val="clear" w:color="auto" w:fill="B5C0D8"/>
          </w:tcPr>
          <w:p w14:paraId="724EA4F0" w14:textId="77777777" w:rsidR="00E45C9B" w:rsidRPr="00F35A70" w:rsidRDefault="00E45C9B" w:rsidP="00E45C9B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E45C9B" w:rsidRPr="00F35A70" w14:paraId="724EA4FE" w14:textId="77777777" w:rsidTr="00E45C9B">
        <w:trPr>
          <w:jc w:val="center"/>
        </w:trPr>
        <w:tc>
          <w:tcPr>
            <w:tcW w:w="1918" w:type="dxa"/>
          </w:tcPr>
          <w:p w14:paraId="724EA4F2" w14:textId="77777777" w:rsidR="00E45C9B" w:rsidRPr="00F35A70" w:rsidRDefault="00E45C9B" w:rsidP="004B0A79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Redovito</w:t>
            </w:r>
          </w:p>
          <w:p w14:paraId="724EA4F3" w14:textId="77777777" w:rsidR="00E45C9B" w:rsidRPr="00F35A70" w:rsidRDefault="00E45C9B" w:rsidP="004B0A79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obavljanje</w:t>
            </w:r>
          </w:p>
          <w:p w14:paraId="724EA4F4" w14:textId="77777777" w:rsidR="00E45C9B" w:rsidRPr="00F35A70" w:rsidRDefault="00E45C9B" w:rsidP="004B0A79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djelatnosti</w:t>
            </w:r>
          </w:p>
        </w:tc>
        <w:tc>
          <w:tcPr>
            <w:tcW w:w="1884" w:type="dxa"/>
          </w:tcPr>
          <w:p w14:paraId="724EA4F5" w14:textId="77777777" w:rsidR="00E45C9B" w:rsidRPr="00F35A70" w:rsidRDefault="00E45C9B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Veličina</w:t>
            </w:r>
          </w:p>
          <w:p w14:paraId="724EA4F6" w14:textId="77777777" w:rsidR="00E45C9B" w:rsidRPr="00F35A70" w:rsidRDefault="00DD36C4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objekta, broj zaposlenih </w:t>
            </w:r>
            <w:r w:rsidR="00E45C9B" w:rsidRPr="00F35A70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</w:p>
          <w:p w14:paraId="724EA4F7" w14:textId="77777777" w:rsidR="00E45C9B" w:rsidRPr="00F35A70" w:rsidRDefault="00E45C9B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broj učenika</w:t>
            </w:r>
          </w:p>
        </w:tc>
        <w:tc>
          <w:tcPr>
            <w:tcW w:w="954" w:type="dxa"/>
          </w:tcPr>
          <w:p w14:paraId="724EA4F8" w14:textId="77777777" w:rsidR="00E45C9B" w:rsidRPr="00F35A70" w:rsidRDefault="00E45C9B" w:rsidP="000C5F3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120" w:type="dxa"/>
          </w:tcPr>
          <w:p w14:paraId="724EA4F9" w14:textId="1791F003" w:rsidR="00E45C9B" w:rsidRPr="00F35A70" w:rsidRDefault="00B1004C" w:rsidP="000C5F33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83.520,00</w:t>
            </w:r>
          </w:p>
        </w:tc>
        <w:tc>
          <w:tcPr>
            <w:tcW w:w="1120" w:type="dxa"/>
            <w:vAlign w:val="top"/>
          </w:tcPr>
          <w:p w14:paraId="724EA4FA" w14:textId="77777777" w:rsidR="000C5F33" w:rsidRDefault="000C5F33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EA4FB" w14:textId="35044F56" w:rsidR="00E45C9B" w:rsidRPr="00F35A70" w:rsidRDefault="00B1004C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83.520,00</w:t>
            </w:r>
          </w:p>
        </w:tc>
        <w:tc>
          <w:tcPr>
            <w:tcW w:w="1120" w:type="dxa"/>
            <w:vAlign w:val="top"/>
          </w:tcPr>
          <w:p w14:paraId="724EA4FC" w14:textId="77777777" w:rsidR="00E45C9B" w:rsidRPr="00F35A70" w:rsidRDefault="00E45C9B" w:rsidP="000C5F33">
            <w:pPr>
              <w:spacing w:after="0"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4EA4FD" w14:textId="03B4183F" w:rsidR="00E45C9B" w:rsidRPr="00F35A70" w:rsidRDefault="00B1004C" w:rsidP="000C5F33">
            <w:pPr>
              <w:spacing w:after="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83.520,00</w:t>
            </w:r>
          </w:p>
        </w:tc>
      </w:tr>
    </w:tbl>
    <w:p w14:paraId="724EA500" w14:textId="77777777" w:rsidR="00372AB3" w:rsidRDefault="00372AB3" w:rsidP="009118A2">
      <w:pPr>
        <w:rPr>
          <w:rFonts w:cstheme="minorHAnsi"/>
          <w:sz w:val="24"/>
          <w:szCs w:val="24"/>
        </w:rPr>
      </w:pPr>
    </w:p>
    <w:p w14:paraId="724EA501" w14:textId="77777777" w:rsidR="009118A2" w:rsidRPr="001B0B2A" w:rsidRDefault="001B0B2A" w:rsidP="001B0B2A">
      <w:pPr>
        <w:rPr>
          <w:rFonts w:cstheme="minorHAnsi"/>
          <w:b/>
          <w:sz w:val="24"/>
          <w:szCs w:val="24"/>
          <w:u w:val="single"/>
        </w:rPr>
      </w:pPr>
      <w:r w:rsidRPr="001B0B2A">
        <w:rPr>
          <w:rFonts w:cstheme="minorHAnsi"/>
          <w:b/>
          <w:sz w:val="24"/>
          <w:szCs w:val="24"/>
          <w:u w:val="single"/>
        </w:rPr>
        <w:t xml:space="preserve">NAZIV PROGRAMA: </w:t>
      </w:r>
      <w:r w:rsidR="009118A2" w:rsidRPr="001B0B2A">
        <w:rPr>
          <w:rFonts w:cstheme="minorHAnsi"/>
          <w:sz w:val="24"/>
          <w:szCs w:val="24"/>
          <w:u w:val="single"/>
        </w:rPr>
        <w:t>P17 Srednjoškolsko obrazovanje – iznad standarda</w:t>
      </w:r>
    </w:p>
    <w:p w14:paraId="724EA502" w14:textId="77777777" w:rsidR="009118A2" w:rsidRPr="00F35A70" w:rsidRDefault="001B0B2A" w:rsidP="009118A2">
      <w:pPr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14:paraId="5AC25E06" w14:textId="77777777" w:rsidR="00AD75CA" w:rsidRDefault="009118A2" w:rsidP="00AD75CA">
      <w:pPr>
        <w:rPr>
          <w:rFonts w:cstheme="minorHAnsi"/>
          <w:sz w:val="24"/>
          <w:szCs w:val="24"/>
        </w:rPr>
      </w:pPr>
      <w:r w:rsidRPr="00F35A70">
        <w:rPr>
          <w:rFonts w:cstheme="minorHAnsi"/>
          <w:b/>
          <w:sz w:val="24"/>
          <w:szCs w:val="24"/>
        </w:rPr>
        <w:t xml:space="preserve">     </w:t>
      </w:r>
      <w:r w:rsidR="001B0B2A">
        <w:rPr>
          <w:rFonts w:cstheme="minorHAnsi"/>
          <w:sz w:val="24"/>
          <w:szCs w:val="24"/>
        </w:rPr>
        <w:t xml:space="preserve">Sredstva ovog programa namijenjena su </w:t>
      </w:r>
      <w:r w:rsidR="00155B93">
        <w:rPr>
          <w:rFonts w:cstheme="minorHAnsi"/>
          <w:sz w:val="24"/>
          <w:szCs w:val="24"/>
        </w:rPr>
        <w:t xml:space="preserve">za </w:t>
      </w:r>
      <w:r w:rsidR="001B0B2A">
        <w:rPr>
          <w:rFonts w:cstheme="minorHAnsi"/>
          <w:sz w:val="24"/>
          <w:szCs w:val="24"/>
        </w:rPr>
        <w:t>provedbu županijskih natjecanja</w:t>
      </w:r>
      <w:r w:rsidR="009E7E0A">
        <w:rPr>
          <w:rFonts w:cstheme="minorHAnsi"/>
          <w:sz w:val="24"/>
          <w:szCs w:val="24"/>
        </w:rPr>
        <w:t xml:space="preserve">, </w:t>
      </w:r>
      <w:r w:rsidRPr="00F35A70">
        <w:rPr>
          <w:rFonts w:cstheme="minorHAnsi"/>
          <w:sz w:val="24"/>
          <w:szCs w:val="24"/>
        </w:rPr>
        <w:t>sufinanciranje e-tehničar</w:t>
      </w:r>
      <w:r w:rsidR="00C00C44">
        <w:rPr>
          <w:rFonts w:cstheme="minorHAnsi"/>
          <w:sz w:val="24"/>
          <w:szCs w:val="24"/>
        </w:rPr>
        <w:t xml:space="preserve">a jer </w:t>
      </w:r>
      <w:r w:rsidR="00155B93">
        <w:rPr>
          <w:rFonts w:cstheme="minorHAnsi"/>
          <w:sz w:val="24"/>
          <w:szCs w:val="24"/>
        </w:rPr>
        <w:t xml:space="preserve">je </w:t>
      </w:r>
      <w:r w:rsidR="00C00C44">
        <w:rPr>
          <w:rFonts w:cstheme="minorHAnsi"/>
          <w:sz w:val="24"/>
          <w:szCs w:val="24"/>
        </w:rPr>
        <w:t>š</w:t>
      </w:r>
      <w:r w:rsidR="00155B93">
        <w:rPr>
          <w:rFonts w:cstheme="minorHAnsi"/>
          <w:sz w:val="24"/>
          <w:szCs w:val="24"/>
        </w:rPr>
        <w:t>kola sudjelovala</w:t>
      </w:r>
      <w:r w:rsidR="00C00C44" w:rsidRPr="00F35A70">
        <w:rPr>
          <w:rFonts w:cstheme="minorHAnsi"/>
          <w:sz w:val="24"/>
          <w:szCs w:val="24"/>
        </w:rPr>
        <w:t xml:space="preserve"> u CARNET-ovom programu “e-Škole: Cjelovita informatizacija </w:t>
      </w:r>
      <w:r w:rsidR="00C00C44" w:rsidRPr="00F35A70">
        <w:rPr>
          <w:rFonts w:cstheme="minorHAnsi"/>
          <w:sz w:val="24"/>
          <w:szCs w:val="24"/>
        </w:rPr>
        <w:lastRenderedPageBreak/>
        <w:t>procesa poslovanja škola i nastavnih procesa u svrhu stvaranja digitalno zrelih škola za 21. stoljeće”</w:t>
      </w:r>
      <w:r w:rsidR="00155B93">
        <w:rPr>
          <w:rFonts w:cstheme="minorHAnsi"/>
          <w:sz w:val="24"/>
          <w:szCs w:val="24"/>
        </w:rPr>
        <w:t>, te nabavu knjižne građe za školsku knjižnicu.</w:t>
      </w:r>
    </w:p>
    <w:p w14:paraId="724EA506" w14:textId="6D9DF620" w:rsidR="00AC48AC" w:rsidRPr="00AD75CA" w:rsidRDefault="00AC48AC" w:rsidP="00AD75CA">
      <w:pPr>
        <w:rPr>
          <w:rFonts w:cstheme="minorHAnsi"/>
          <w:sz w:val="24"/>
          <w:szCs w:val="24"/>
        </w:rPr>
      </w:pPr>
      <w:r w:rsidRPr="00FF23BF">
        <w:rPr>
          <w:rFonts w:cstheme="minorHAnsi"/>
          <w:b/>
          <w:sz w:val="24"/>
          <w:szCs w:val="24"/>
        </w:rPr>
        <w:t xml:space="preserve">IZVRŠENJE PROGRAMA S OSVRTOM NA </w:t>
      </w:r>
      <w:r>
        <w:rPr>
          <w:rFonts w:cstheme="minorHAnsi"/>
          <w:b/>
          <w:sz w:val="24"/>
          <w:szCs w:val="24"/>
        </w:rPr>
        <w:t xml:space="preserve">CILJEVE KOJI SU OSTVARENI </w:t>
      </w:r>
      <w:r w:rsidRPr="00FF23BF">
        <w:rPr>
          <w:rFonts w:cstheme="minorHAnsi"/>
          <w:b/>
          <w:sz w:val="24"/>
          <w:szCs w:val="24"/>
        </w:rPr>
        <w:t>NJEGOVOM PROVEDBOM:</w:t>
      </w:r>
    </w:p>
    <w:p w14:paraId="724EA514" w14:textId="3BA90006" w:rsidR="00BA32AD" w:rsidRPr="00F35A70" w:rsidRDefault="00AC48AC" w:rsidP="004033C4">
      <w:pPr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4033C4">
        <w:rPr>
          <w:rFonts w:cstheme="minorHAnsi"/>
          <w:sz w:val="24"/>
          <w:szCs w:val="24"/>
        </w:rPr>
        <w:t>U 2025. godini</w:t>
      </w:r>
      <w:r>
        <w:rPr>
          <w:rFonts w:cstheme="minorHAnsi"/>
          <w:sz w:val="24"/>
          <w:szCs w:val="24"/>
        </w:rPr>
        <w:t xml:space="preserve"> provedena su sva natjecanja i podmireni troškovi is</w:t>
      </w:r>
      <w:r w:rsidR="004033C4">
        <w:rPr>
          <w:rFonts w:cstheme="minorHAnsi"/>
          <w:sz w:val="24"/>
          <w:szCs w:val="24"/>
        </w:rPr>
        <w:t>tih, kao i troškovi E-tehničara, a sredstva za nabavu knjižne građe utrošena su za kupnju novih knjiga</w:t>
      </w:r>
      <w:r w:rsidR="000A2387">
        <w:rPr>
          <w:rFonts w:cstheme="minorHAnsi"/>
          <w:sz w:val="24"/>
          <w:szCs w:val="24"/>
        </w:rPr>
        <w:t>.</w:t>
      </w:r>
    </w:p>
    <w:p w14:paraId="724EA515" w14:textId="212F1D9E" w:rsidR="009118A2" w:rsidRDefault="009118A2" w:rsidP="00D7293F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F35A70">
        <w:rPr>
          <w:rFonts w:cstheme="minorHAnsi"/>
          <w:b/>
          <w:bCs/>
          <w:sz w:val="24"/>
          <w:szCs w:val="24"/>
        </w:rPr>
        <w:t xml:space="preserve">     </w:t>
      </w:r>
      <w:r w:rsidR="000370E4">
        <w:rPr>
          <w:rFonts w:cstheme="minorHAnsi"/>
          <w:b/>
          <w:bCs/>
          <w:sz w:val="24"/>
          <w:szCs w:val="24"/>
        </w:rPr>
        <w:t xml:space="preserve">     </w:t>
      </w:r>
      <w:r w:rsidRPr="00F35A70">
        <w:rPr>
          <w:rFonts w:cstheme="minorHAnsi"/>
          <w:b/>
          <w:bCs/>
          <w:sz w:val="24"/>
          <w:szCs w:val="24"/>
        </w:rPr>
        <w:t xml:space="preserve">A000075 </w:t>
      </w:r>
      <w:r w:rsidRPr="00F35A70">
        <w:rPr>
          <w:rFonts w:cstheme="minorHAnsi"/>
          <w:bCs/>
          <w:sz w:val="24"/>
          <w:szCs w:val="24"/>
        </w:rPr>
        <w:t>– Župan</w:t>
      </w:r>
      <w:r w:rsidR="00AC48AC">
        <w:rPr>
          <w:rFonts w:cstheme="minorHAnsi"/>
          <w:bCs/>
          <w:sz w:val="24"/>
          <w:szCs w:val="24"/>
        </w:rPr>
        <w:t>ijska natjecanja SŠ</w:t>
      </w:r>
    </w:p>
    <w:p w14:paraId="724EA516" w14:textId="77777777" w:rsidR="00D7293F" w:rsidRPr="00AC48AC" w:rsidRDefault="00D7293F" w:rsidP="00D7293F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17" w14:textId="77777777" w:rsidR="009118A2" w:rsidRPr="00F35A70" w:rsidRDefault="009118A2" w:rsidP="00D7293F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Na natjecanjima i smotrama sudjeluju učenici koji se kao pojedinci ili članovi određene</w:t>
      </w:r>
    </w:p>
    <w:p w14:paraId="724EA518" w14:textId="77777777" w:rsidR="009118A2" w:rsidRPr="00F35A70" w:rsidRDefault="009118A2" w:rsidP="00D7293F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skupine ističu znanjem, vještinama ili sposobnostima u skladu s programom/pravilima</w:t>
      </w:r>
    </w:p>
    <w:p w14:paraId="724EA519" w14:textId="77777777" w:rsidR="009118A2" w:rsidRDefault="009118A2" w:rsidP="00AF1E71">
      <w:pPr>
        <w:adjustRightInd w:val="0"/>
        <w:spacing w:after="0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pojedinog natjecanja ili smotre. Gimnazija Daruvar je domaćin Župan</w:t>
      </w:r>
      <w:r w:rsidR="00AF1E71">
        <w:rPr>
          <w:rFonts w:cstheme="minorHAnsi"/>
          <w:sz w:val="24"/>
          <w:szCs w:val="24"/>
        </w:rPr>
        <w:t>ijskog natjecanja iz Biologije.</w:t>
      </w:r>
    </w:p>
    <w:p w14:paraId="724EA51A" w14:textId="77777777" w:rsidR="00AF1E71" w:rsidRPr="00F35A70" w:rsidRDefault="00AF1E71" w:rsidP="00AF1E71">
      <w:pPr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1E71" w:rsidRPr="00F35A70" w14:paraId="724EA51E" w14:textId="77777777" w:rsidTr="00BA32AD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1B" w14:textId="18895A74" w:rsidR="00AF1E71" w:rsidRPr="00F35A70" w:rsidRDefault="000370E4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AF1E71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1C" w14:textId="40B884B2" w:rsidR="00AF1E71" w:rsidRPr="00F35A70" w:rsidRDefault="00AF1E71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Izvršenje </w:t>
            </w:r>
            <w:r w:rsidR="000370E4">
              <w:rPr>
                <w:rFonts w:cstheme="minorHAnsi"/>
                <w:b/>
                <w:sz w:val="24"/>
                <w:szCs w:val="24"/>
              </w:rPr>
              <w:t>2025</w:t>
            </w:r>
            <w:r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1D" w14:textId="77777777" w:rsidR="00AF1E71" w:rsidRPr="00F35A70" w:rsidRDefault="00AF1E71" w:rsidP="00AF1E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522" w14:textId="77777777" w:rsidTr="00BA32AD">
        <w:trPr>
          <w:trHeight w:val="342"/>
          <w:jc w:val="center"/>
        </w:trPr>
        <w:tc>
          <w:tcPr>
            <w:tcW w:w="3020" w:type="dxa"/>
          </w:tcPr>
          <w:p w14:paraId="724EA51F" w14:textId="5C601C49" w:rsidR="009118A2" w:rsidRPr="00F35A70" w:rsidRDefault="000370E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1.670,00</w:t>
            </w:r>
          </w:p>
        </w:tc>
        <w:tc>
          <w:tcPr>
            <w:tcW w:w="3021" w:type="dxa"/>
          </w:tcPr>
          <w:p w14:paraId="724EA520" w14:textId="5B75693E" w:rsidR="009118A2" w:rsidRPr="00F35A70" w:rsidRDefault="000370E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1.646,70</w:t>
            </w:r>
          </w:p>
        </w:tc>
        <w:tc>
          <w:tcPr>
            <w:tcW w:w="3021" w:type="dxa"/>
          </w:tcPr>
          <w:p w14:paraId="724EA521" w14:textId="108E4252" w:rsidR="009118A2" w:rsidRPr="00F35A70" w:rsidRDefault="000370E4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98,6</w:t>
            </w:r>
          </w:p>
        </w:tc>
      </w:tr>
    </w:tbl>
    <w:p w14:paraId="7B1100EF" w14:textId="77777777" w:rsidR="00B96638" w:rsidRDefault="00B96638" w:rsidP="007278A5">
      <w:pPr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EA531" w14:textId="565DC9C2" w:rsidR="009118A2" w:rsidRDefault="00B96638" w:rsidP="007278A5">
      <w:pPr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9118A2" w:rsidRPr="00F35A70">
        <w:rPr>
          <w:rFonts w:cstheme="minorHAnsi"/>
          <w:b/>
          <w:bCs/>
          <w:sz w:val="24"/>
          <w:szCs w:val="24"/>
        </w:rPr>
        <w:t xml:space="preserve">A000300 </w:t>
      </w:r>
      <w:r w:rsidR="009118A2" w:rsidRPr="00F35A70">
        <w:rPr>
          <w:rFonts w:cstheme="minorHAnsi"/>
          <w:sz w:val="24"/>
          <w:szCs w:val="24"/>
        </w:rPr>
        <w:t xml:space="preserve">– </w:t>
      </w:r>
      <w:r w:rsidR="009118A2" w:rsidRPr="00BA32AD">
        <w:rPr>
          <w:rFonts w:cstheme="minorHAnsi"/>
          <w:iCs/>
          <w:sz w:val="24"/>
          <w:szCs w:val="24"/>
        </w:rPr>
        <w:t>Sufinanciranje e-tehničara u SŠ</w:t>
      </w:r>
    </w:p>
    <w:p w14:paraId="6DB0BCC4" w14:textId="77777777" w:rsidR="007278A5" w:rsidRPr="00BA32AD" w:rsidRDefault="007278A5" w:rsidP="007278A5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32" w14:textId="0C6CEC2D" w:rsidR="009118A2" w:rsidRPr="00F35A70" w:rsidRDefault="007278A5" w:rsidP="00BA32A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Škola je sudjelovala</w:t>
      </w:r>
      <w:r w:rsidR="009118A2" w:rsidRPr="00F35A70">
        <w:rPr>
          <w:rFonts w:cstheme="minorHAnsi"/>
          <w:sz w:val="24"/>
          <w:szCs w:val="24"/>
        </w:rPr>
        <w:t xml:space="preserve"> u CARNET-ovom programu “e-Škole: Cjelovita informatizacija procesa poslovanja škola i nastavnih procesa u svrhu stvaranja digitalno zrelih škola za 21. stoljeće”. Sustavno i redovito korištenje najmodernije tehnologije u učenju i poučavanju, adekvatna infrastruktura i računalna oprema u školi kao i brojni razvijeni digitalni obrazovni sadržaji i e-usluge za nastavne i poslovne procese te niz edukacija za razvoj digitalnih kompetencija školskih djelatnika – samo su neke od prednosti koje </w:t>
      </w:r>
      <w:r>
        <w:rPr>
          <w:rFonts w:cstheme="minorHAnsi"/>
          <w:sz w:val="24"/>
          <w:szCs w:val="24"/>
        </w:rPr>
        <w:t>je donio</w:t>
      </w:r>
      <w:r w:rsidR="009118A2" w:rsidRPr="00F35A70">
        <w:rPr>
          <w:rFonts w:cstheme="minorHAnsi"/>
          <w:sz w:val="24"/>
          <w:szCs w:val="24"/>
        </w:rPr>
        <w:t xml:space="preserve"> CARNET-ov program e-Škole. </w:t>
      </w:r>
    </w:p>
    <w:p w14:paraId="724EA533" w14:textId="77777777" w:rsidR="009118A2" w:rsidRPr="00F35A70" w:rsidRDefault="009118A2" w:rsidP="00BA32AD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Bjelovarsko-bilogorska županija temeljem Odluke o pravima i obvezama škola i</w:t>
      </w:r>
    </w:p>
    <w:p w14:paraId="724EA534" w14:textId="77777777" w:rsidR="009118A2" w:rsidRPr="00F35A70" w:rsidRDefault="009118A2" w:rsidP="00BA32AD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osnivača, a sukladno ugovoru o sudjelovanju u drugoj fazi programa „e-Škole“ dužna je</w:t>
      </w:r>
    </w:p>
    <w:p w14:paraId="724EA535" w14:textId="77777777" w:rsidR="009118A2" w:rsidRDefault="009118A2" w:rsidP="00163F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>sufinanci</w:t>
      </w:r>
      <w:r w:rsidR="00163F9B">
        <w:rPr>
          <w:rFonts w:cstheme="minorHAnsi"/>
          <w:sz w:val="24"/>
          <w:szCs w:val="24"/>
        </w:rPr>
        <w:t>rati rad e-tehničara u školama.</w:t>
      </w:r>
    </w:p>
    <w:p w14:paraId="724EA536" w14:textId="77777777" w:rsidR="00163F9B" w:rsidRPr="00F35A70" w:rsidRDefault="00163F9B" w:rsidP="00163F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32AD" w:rsidRPr="00F35A70" w14:paraId="724EA53A" w14:textId="77777777" w:rsidTr="00BA32AD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37" w14:textId="1658EB95" w:rsidR="00BA32AD" w:rsidRPr="00F35A70" w:rsidRDefault="007278A5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BA32AD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38" w14:textId="31D5075C" w:rsidR="00BA32AD" w:rsidRPr="00F35A70" w:rsidRDefault="007278A5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2025</w:t>
            </w:r>
            <w:r w:rsidR="00BA32AD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39" w14:textId="77777777" w:rsidR="00BA32AD" w:rsidRPr="00F35A70" w:rsidRDefault="00BA32AD" w:rsidP="00BA32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9118A2" w:rsidRPr="00F35A70" w14:paraId="724EA53E" w14:textId="77777777" w:rsidTr="00BA32AD">
        <w:trPr>
          <w:trHeight w:val="342"/>
          <w:jc w:val="center"/>
        </w:trPr>
        <w:tc>
          <w:tcPr>
            <w:tcW w:w="3020" w:type="dxa"/>
          </w:tcPr>
          <w:p w14:paraId="724EA53B" w14:textId="04A63192" w:rsidR="009118A2" w:rsidRPr="00F35A70" w:rsidRDefault="007278A5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2.100,00</w:t>
            </w:r>
          </w:p>
        </w:tc>
        <w:tc>
          <w:tcPr>
            <w:tcW w:w="3021" w:type="dxa"/>
          </w:tcPr>
          <w:p w14:paraId="724EA53C" w14:textId="01770970" w:rsidR="009118A2" w:rsidRPr="00F35A70" w:rsidRDefault="007278A5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2.100,00</w:t>
            </w:r>
          </w:p>
        </w:tc>
        <w:tc>
          <w:tcPr>
            <w:tcW w:w="3021" w:type="dxa"/>
          </w:tcPr>
          <w:p w14:paraId="724EA53D" w14:textId="147A37DD" w:rsidR="009118A2" w:rsidRPr="00F35A70" w:rsidRDefault="007278A5" w:rsidP="00D27B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100,00</w:t>
            </w:r>
          </w:p>
        </w:tc>
      </w:tr>
    </w:tbl>
    <w:p w14:paraId="724EA53F" w14:textId="77777777" w:rsidR="009118A2" w:rsidRPr="00F35A70" w:rsidRDefault="009118A2" w:rsidP="009118A2">
      <w:pPr>
        <w:rPr>
          <w:rFonts w:cstheme="minorHAnsi"/>
          <w:b/>
          <w:sz w:val="24"/>
          <w:szCs w:val="24"/>
        </w:rPr>
      </w:pPr>
    </w:p>
    <w:p w14:paraId="724EA540" w14:textId="27E9B3AA" w:rsidR="00B358D6" w:rsidRDefault="00B358D6" w:rsidP="00B358D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="00A43802">
        <w:rPr>
          <w:rFonts w:cstheme="minorHAnsi"/>
          <w:b/>
          <w:bCs/>
          <w:sz w:val="24"/>
          <w:szCs w:val="24"/>
        </w:rPr>
        <w:t xml:space="preserve">     </w:t>
      </w:r>
      <w:r w:rsidR="0044328F">
        <w:rPr>
          <w:rFonts w:cstheme="minorHAnsi"/>
          <w:b/>
          <w:bCs/>
          <w:sz w:val="24"/>
          <w:szCs w:val="24"/>
        </w:rPr>
        <w:t>K000181</w:t>
      </w:r>
      <w:r w:rsidRPr="00F35A70">
        <w:rPr>
          <w:rFonts w:cstheme="minorHAnsi"/>
          <w:b/>
          <w:bCs/>
          <w:sz w:val="24"/>
          <w:szCs w:val="24"/>
        </w:rPr>
        <w:t xml:space="preserve"> </w:t>
      </w:r>
      <w:r w:rsidRPr="00F35A70">
        <w:rPr>
          <w:rFonts w:cstheme="minorHAnsi"/>
          <w:bCs/>
          <w:sz w:val="24"/>
          <w:szCs w:val="24"/>
        </w:rPr>
        <w:t xml:space="preserve">– </w:t>
      </w:r>
      <w:r w:rsidR="0044328F">
        <w:rPr>
          <w:rFonts w:cstheme="minorHAnsi"/>
          <w:bCs/>
          <w:sz w:val="24"/>
          <w:szCs w:val="24"/>
        </w:rPr>
        <w:t>Sufinanciranje nabave knjižnične građe SŠ</w:t>
      </w:r>
    </w:p>
    <w:p w14:paraId="724EA541" w14:textId="77777777" w:rsidR="00B358D6" w:rsidRPr="00AC48AC" w:rsidRDefault="00B358D6" w:rsidP="00B358D6">
      <w:pPr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24EA542" w14:textId="4E6B6C83" w:rsidR="00B358D6" w:rsidRDefault="00B358D6" w:rsidP="0044328F">
      <w:pPr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A70">
        <w:rPr>
          <w:rFonts w:cstheme="minorHAnsi"/>
          <w:sz w:val="24"/>
          <w:szCs w:val="24"/>
        </w:rPr>
        <w:t xml:space="preserve">     </w:t>
      </w:r>
      <w:r w:rsidR="0044328F" w:rsidRPr="0044328F">
        <w:rPr>
          <w:rFonts w:cstheme="minorHAnsi"/>
          <w:sz w:val="24"/>
          <w:szCs w:val="24"/>
        </w:rPr>
        <w:t xml:space="preserve">Ostvarenje </w:t>
      </w:r>
      <w:r w:rsidR="0048454E">
        <w:rPr>
          <w:rFonts w:cstheme="minorHAnsi"/>
          <w:sz w:val="24"/>
          <w:szCs w:val="24"/>
        </w:rPr>
        <w:t>na ovom kapitalnom projektu</w:t>
      </w:r>
      <w:r w:rsidR="0044328F" w:rsidRPr="0044328F">
        <w:rPr>
          <w:rFonts w:cstheme="minorHAnsi"/>
          <w:sz w:val="24"/>
          <w:szCs w:val="24"/>
        </w:rPr>
        <w:t xml:space="preserve"> odnosi se na sufinanciranje nab</w:t>
      </w:r>
      <w:r w:rsidR="0044328F">
        <w:rPr>
          <w:rFonts w:cstheme="minorHAnsi"/>
          <w:sz w:val="24"/>
          <w:szCs w:val="24"/>
        </w:rPr>
        <w:t xml:space="preserve">ave knjižnične građe, </w:t>
      </w:r>
      <w:r w:rsidR="0044328F" w:rsidRPr="0044328F">
        <w:rPr>
          <w:rFonts w:cstheme="minorHAnsi"/>
          <w:sz w:val="24"/>
          <w:szCs w:val="24"/>
        </w:rPr>
        <w:t>sukladno Zakonu o knjižnicama i Standardu za školske knjižnice.</w:t>
      </w:r>
    </w:p>
    <w:p w14:paraId="724EA543" w14:textId="77777777" w:rsidR="00B358D6" w:rsidRPr="00F35A70" w:rsidRDefault="00B358D6" w:rsidP="00B358D6">
      <w:pPr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58D6" w:rsidRPr="00F35A70" w14:paraId="724EA547" w14:textId="77777777" w:rsidTr="00EA2168">
        <w:trPr>
          <w:trHeight w:val="335"/>
          <w:jc w:val="center"/>
        </w:trPr>
        <w:tc>
          <w:tcPr>
            <w:tcW w:w="3020" w:type="dxa"/>
            <w:shd w:val="clear" w:color="auto" w:fill="BDD6EE" w:themeFill="accent1" w:themeFillTint="66"/>
          </w:tcPr>
          <w:p w14:paraId="724EA544" w14:textId="5A744F75" w:rsidR="00B358D6" w:rsidRPr="00F35A70" w:rsidRDefault="0044328F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 w:rsidR="00B358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45" w14:textId="4F907D65" w:rsidR="00B358D6" w:rsidRPr="00F35A70" w:rsidRDefault="0044328F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Izvršenje 2025</w:t>
            </w:r>
            <w:r w:rsidR="00B358D6">
              <w:rPr>
                <w:rFonts w:cstheme="minorHAnsi"/>
                <w:b/>
                <w:sz w:val="24"/>
                <w:szCs w:val="24"/>
              </w:rPr>
              <w:t>.god.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14:paraId="724EA546" w14:textId="77777777" w:rsidR="00B358D6" w:rsidRPr="00F35A70" w:rsidRDefault="00B358D6" w:rsidP="00525AA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Indeks (%)</w:t>
            </w:r>
          </w:p>
        </w:tc>
      </w:tr>
      <w:tr w:rsidR="00B358D6" w:rsidRPr="00F35A70" w14:paraId="724EA54B" w14:textId="77777777" w:rsidTr="00EA2168">
        <w:trPr>
          <w:trHeight w:val="342"/>
          <w:jc w:val="center"/>
        </w:trPr>
        <w:tc>
          <w:tcPr>
            <w:tcW w:w="3020" w:type="dxa"/>
          </w:tcPr>
          <w:p w14:paraId="724EA548" w14:textId="50E2B372" w:rsidR="00B358D6" w:rsidRPr="00F35A70" w:rsidRDefault="00293DD8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787</w:t>
            </w:r>
            <w:r w:rsidR="00B358D6">
              <w:rPr>
                <w:rFonts w:cstheme="minorHAnsi"/>
                <w:sz w:val="24"/>
                <w:szCs w:val="24"/>
              </w:rPr>
              <w:t>,00</w:t>
            </w:r>
          </w:p>
        </w:tc>
        <w:tc>
          <w:tcPr>
            <w:tcW w:w="3021" w:type="dxa"/>
          </w:tcPr>
          <w:p w14:paraId="724EA549" w14:textId="03B9A0B8" w:rsidR="00B358D6" w:rsidRPr="00F35A70" w:rsidRDefault="0044328F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787,00</w:t>
            </w:r>
          </w:p>
        </w:tc>
        <w:tc>
          <w:tcPr>
            <w:tcW w:w="3021" w:type="dxa"/>
          </w:tcPr>
          <w:p w14:paraId="724EA54A" w14:textId="03576DD1" w:rsidR="00B358D6" w:rsidRPr="00F35A70" w:rsidRDefault="0044328F" w:rsidP="00525A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100,00</w:t>
            </w:r>
          </w:p>
        </w:tc>
      </w:tr>
    </w:tbl>
    <w:p w14:paraId="724EA54C" w14:textId="77777777" w:rsidR="00B358D6" w:rsidRDefault="00B358D6" w:rsidP="00B358D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4EA54D" w14:textId="77777777" w:rsidR="00B358D6" w:rsidRDefault="00B358D6" w:rsidP="00B358D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45FF896" w14:textId="77777777" w:rsidR="00C93E6D" w:rsidRDefault="00C93E6D" w:rsidP="009118A2">
      <w:pPr>
        <w:rPr>
          <w:rFonts w:cstheme="minorHAnsi"/>
          <w:b/>
          <w:sz w:val="24"/>
          <w:szCs w:val="24"/>
        </w:rPr>
      </w:pPr>
    </w:p>
    <w:p w14:paraId="10D0696A" w14:textId="77777777" w:rsidR="00C93E6D" w:rsidRDefault="00C93E6D" w:rsidP="009118A2">
      <w:pPr>
        <w:rPr>
          <w:rFonts w:cstheme="minorHAnsi"/>
          <w:b/>
          <w:sz w:val="24"/>
          <w:szCs w:val="24"/>
        </w:rPr>
      </w:pPr>
    </w:p>
    <w:p w14:paraId="2668AF99" w14:textId="77777777" w:rsidR="00C93E6D" w:rsidRDefault="00C93E6D" w:rsidP="009118A2">
      <w:pPr>
        <w:rPr>
          <w:rFonts w:cstheme="minorHAnsi"/>
          <w:b/>
          <w:sz w:val="24"/>
          <w:szCs w:val="24"/>
        </w:rPr>
      </w:pPr>
    </w:p>
    <w:p w14:paraId="1208C1F7" w14:textId="77777777" w:rsidR="00753132" w:rsidRDefault="00753132" w:rsidP="009118A2">
      <w:pPr>
        <w:rPr>
          <w:rFonts w:cstheme="minorHAnsi"/>
          <w:b/>
          <w:sz w:val="24"/>
          <w:szCs w:val="24"/>
        </w:rPr>
      </w:pPr>
    </w:p>
    <w:p w14:paraId="724EA54E" w14:textId="77777777" w:rsidR="009118A2" w:rsidRPr="00F35A70" w:rsidRDefault="0069324E" w:rsidP="009118A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POKAZATELJI USPJEŠNOSTI</w:t>
      </w:r>
      <w:r w:rsidR="00D7293F">
        <w:rPr>
          <w:rFonts w:cstheme="minorHAnsi"/>
          <w:b/>
          <w:sz w:val="24"/>
          <w:szCs w:val="24"/>
        </w:rPr>
        <w:t xml:space="preserve"> PROGRAMA</w:t>
      </w:r>
      <w:r>
        <w:rPr>
          <w:rFonts w:cstheme="minorHAnsi"/>
          <w:b/>
          <w:sz w:val="24"/>
          <w:szCs w:val="24"/>
        </w:rPr>
        <w:t>:</w:t>
      </w:r>
    </w:p>
    <w:tbl>
      <w:tblPr>
        <w:tblStyle w:val="StilTablice"/>
        <w:tblW w:w="8873" w:type="dxa"/>
        <w:jc w:val="center"/>
        <w:tblLook w:val="04A0" w:firstRow="1" w:lastRow="0" w:firstColumn="1" w:lastColumn="0" w:noHBand="0" w:noVBand="1"/>
      </w:tblPr>
      <w:tblGrid>
        <w:gridCol w:w="2241"/>
        <w:gridCol w:w="1827"/>
        <w:gridCol w:w="1154"/>
        <w:gridCol w:w="1217"/>
        <w:gridCol w:w="1217"/>
        <w:gridCol w:w="1217"/>
      </w:tblGrid>
      <w:tr w:rsidR="001E4CB7" w:rsidRPr="00F35A70" w14:paraId="724EA555" w14:textId="77777777" w:rsidTr="001E4CB7">
        <w:trPr>
          <w:trHeight w:val="859"/>
          <w:jc w:val="center"/>
        </w:trPr>
        <w:tc>
          <w:tcPr>
            <w:tcW w:w="2241" w:type="dxa"/>
            <w:shd w:val="clear" w:color="auto" w:fill="B5C0D8"/>
          </w:tcPr>
          <w:p w14:paraId="724EA54F" w14:textId="77777777" w:rsidR="001E4CB7" w:rsidRPr="00F35A70" w:rsidRDefault="001E4CB7" w:rsidP="001E4CB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Pokazatelj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uspješnosti</w:t>
            </w:r>
          </w:p>
        </w:tc>
        <w:tc>
          <w:tcPr>
            <w:tcW w:w="1827" w:type="dxa"/>
            <w:shd w:val="clear" w:color="auto" w:fill="B5C0D8"/>
          </w:tcPr>
          <w:p w14:paraId="724EA550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4" w:type="dxa"/>
            <w:shd w:val="clear" w:color="auto" w:fill="B5C0D8"/>
          </w:tcPr>
          <w:p w14:paraId="724EA551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7" w:type="dxa"/>
            <w:shd w:val="clear" w:color="auto" w:fill="B5C0D8"/>
          </w:tcPr>
          <w:p w14:paraId="724EA552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 w:rsidRPr="00F35A70"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7" w:type="dxa"/>
            <w:shd w:val="clear" w:color="auto" w:fill="B5C0D8"/>
          </w:tcPr>
          <w:p w14:paraId="724EA553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Ciljana vrijednost </w:t>
            </w:r>
          </w:p>
        </w:tc>
        <w:tc>
          <w:tcPr>
            <w:tcW w:w="1217" w:type="dxa"/>
            <w:shd w:val="clear" w:color="auto" w:fill="B5C0D8"/>
          </w:tcPr>
          <w:p w14:paraId="724EA554" w14:textId="77777777" w:rsidR="001E4CB7" w:rsidRPr="00F35A70" w:rsidRDefault="001E4CB7" w:rsidP="001E4CB7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 xml:space="preserve">Ostvarena vrijednost </w:t>
            </w:r>
          </w:p>
        </w:tc>
      </w:tr>
      <w:tr w:rsidR="001E4CB7" w:rsidRPr="00F35A70" w14:paraId="724EA562" w14:textId="77777777" w:rsidTr="001E4CB7">
        <w:trPr>
          <w:trHeight w:val="390"/>
          <w:jc w:val="center"/>
        </w:trPr>
        <w:tc>
          <w:tcPr>
            <w:tcW w:w="2241" w:type="dxa"/>
          </w:tcPr>
          <w:p w14:paraId="724EA556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Realizacija svih</w:t>
            </w:r>
          </w:p>
          <w:p w14:paraId="724EA557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programskih</w:t>
            </w:r>
          </w:p>
          <w:p w14:paraId="724EA558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aktivnosti</w:t>
            </w:r>
          </w:p>
          <w:p w14:paraId="724EA559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određenih</w:t>
            </w:r>
          </w:p>
          <w:p w14:paraId="724EA55A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ugovorima i</w:t>
            </w:r>
          </w:p>
          <w:p w14:paraId="724EA55B" w14:textId="77777777" w:rsidR="001E4CB7" w:rsidRPr="00F35A70" w:rsidRDefault="001E4CB7" w:rsidP="0069324E">
            <w:pPr>
              <w:adjustRightInd w:val="0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drugim pravnim</w:t>
            </w:r>
          </w:p>
          <w:p w14:paraId="724EA55C" w14:textId="77777777" w:rsidR="001E4CB7" w:rsidRPr="00F35A70" w:rsidRDefault="001E4CB7" w:rsidP="0069324E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aktima</w:t>
            </w:r>
          </w:p>
        </w:tc>
        <w:tc>
          <w:tcPr>
            <w:tcW w:w="1827" w:type="dxa"/>
          </w:tcPr>
          <w:p w14:paraId="724EA55D" w14:textId="77777777" w:rsidR="001E4CB7" w:rsidRPr="00F35A70" w:rsidRDefault="001E4CB7" w:rsidP="0069324E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Redovna djelatnost škole</w:t>
            </w:r>
            <w:r w:rsidR="00F13B35">
              <w:rPr>
                <w:rFonts w:asciiTheme="minorHAnsi" w:hAnsiTheme="minorHAnsi" w:cstheme="minorHAnsi"/>
                <w:sz w:val="24"/>
                <w:szCs w:val="24"/>
              </w:rPr>
              <w:t xml:space="preserve">, broj učenika </w:t>
            </w:r>
          </w:p>
        </w:tc>
        <w:tc>
          <w:tcPr>
            <w:tcW w:w="1154" w:type="dxa"/>
          </w:tcPr>
          <w:p w14:paraId="724EA55E" w14:textId="77777777" w:rsidR="001E4CB7" w:rsidRPr="00F35A70" w:rsidRDefault="001E4CB7" w:rsidP="0069324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5A70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217" w:type="dxa"/>
          </w:tcPr>
          <w:p w14:paraId="724EA55F" w14:textId="6C326685" w:rsidR="001E4CB7" w:rsidRPr="00F35A70" w:rsidRDefault="00C93E6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4.557,00</w:t>
            </w:r>
          </w:p>
        </w:tc>
        <w:tc>
          <w:tcPr>
            <w:tcW w:w="1217" w:type="dxa"/>
          </w:tcPr>
          <w:p w14:paraId="724EA560" w14:textId="1AEC9BD8" w:rsidR="001E4CB7" w:rsidRPr="00F35A70" w:rsidRDefault="00C93E6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4.557,00</w:t>
            </w:r>
          </w:p>
        </w:tc>
        <w:tc>
          <w:tcPr>
            <w:tcW w:w="1217" w:type="dxa"/>
          </w:tcPr>
          <w:p w14:paraId="724EA561" w14:textId="23E0435A" w:rsidR="001E4CB7" w:rsidRPr="00F35A70" w:rsidRDefault="00C93E6D" w:rsidP="0069324E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4.533,70</w:t>
            </w:r>
          </w:p>
        </w:tc>
      </w:tr>
    </w:tbl>
    <w:p w14:paraId="724EA563" w14:textId="77777777" w:rsidR="009118A2" w:rsidRDefault="009118A2" w:rsidP="00CF2D09">
      <w:pPr>
        <w:spacing w:after="0" w:line="240" w:lineRule="auto"/>
        <w:rPr>
          <w:rFonts w:cstheme="minorHAnsi"/>
          <w:sz w:val="24"/>
          <w:szCs w:val="24"/>
        </w:rPr>
      </w:pPr>
    </w:p>
    <w:p w14:paraId="724EA564" w14:textId="77777777" w:rsidR="00CF2D09" w:rsidRDefault="00CF2D09" w:rsidP="00CF2D09">
      <w:pPr>
        <w:spacing w:after="0" w:line="240" w:lineRule="auto"/>
        <w:rPr>
          <w:rFonts w:cstheme="minorHAnsi"/>
          <w:sz w:val="24"/>
          <w:szCs w:val="24"/>
        </w:rPr>
      </w:pPr>
    </w:p>
    <w:p w14:paraId="724EA565" w14:textId="77777777" w:rsidR="00CF2D09" w:rsidRDefault="00CF2D09" w:rsidP="00CF2D09">
      <w:pPr>
        <w:spacing w:after="0" w:line="240" w:lineRule="auto"/>
        <w:rPr>
          <w:rFonts w:cstheme="minorHAnsi"/>
          <w:sz w:val="24"/>
          <w:szCs w:val="24"/>
        </w:rPr>
      </w:pPr>
    </w:p>
    <w:p w14:paraId="724EA591" w14:textId="77777777" w:rsidR="00372AB3" w:rsidRPr="00F35A70" w:rsidRDefault="00372AB3" w:rsidP="009118A2">
      <w:pPr>
        <w:rPr>
          <w:rFonts w:cstheme="minorHAnsi"/>
          <w:sz w:val="24"/>
          <w:szCs w:val="24"/>
        </w:rPr>
      </w:pPr>
    </w:p>
    <w:p w14:paraId="724EA592" w14:textId="77777777" w:rsidR="009118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BD1C21">
        <w:rPr>
          <w:rFonts w:cstheme="minorHAnsi"/>
          <w:sz w:val="24"/>
          <w:szCs w:val="24"/>
        </w:rPr>
        <w:t xml:space="preserve">                   Predsjednik Š</w:t>
      </w:r>
      <w:r>
        <w:rPr>
          <w:rFonts w:cstheme="minorHAnsi"/>
          <w:sz w:val="24"/>
          <w:szCs w:val="24"/>
        </w:rPr>
        <w:t>kolskog odbora:</w:t>
      </w:r>
    </w:p>
    <w:p w14:paraId="724EA593" w14:textId="1E85CDFB" w:rsidR="000F47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Emir Sulik</w:t>
      </w:r>
      <w:r w:rsidR="00B36494">
        <w:rPr>
          <w:rFonts w:cstheme="minorHAnsi"/>
          <w:sz w:val="24"/>
          <w:szCs w:val="24"/>
        </w:rPr>
        <w:t>, prof.</w:t>
      </w:r>
    </w:p>
    <w:p w14:paraId="724EA594" w14:textId="77777777" w:rsidR="000F47A2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4EA595" w14:textId="77777777" w:rsidR="000F47A2" w:rsidRPr="00F35A70" w:rsidRDefault="000F47A2" w:rsidP="000F47A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________________________</w:t>
      </w:r>
    </w:p>
    <w:sectPr w:rsidR="000F47A2" w:rsidRPr="00F35A70" w:rsidSect="00192B4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64557" w14:textId="77777777" w:rsidR="00B726A6" w:rsidRDefault="00B726A6" w:rsidP="00256C89">
      <w:pPr>
        <w:spacing w:after="0" w:line="240" w:lineRule="auto"/>
      </w:pPr>
      <w:r>
        <w:separator/>
      </w:r>
    </w:p>
  </w:endnote>
  <w:endnote w:type="continuationSeparator" w:id="0">
    <w:p w14:paraId="6B70EC9F" w14:textId="77777777" w:rsidR="00B726A6" w:rsidRDefault="00B726A6" w:rsidP="002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600566"/>
      <w:docPartObj>
        <w:docPartGallery w:val="Page Numbers (Bottom of Page)"/>
        <w:docPartUnique/>
      </w:docPartObj>
    </w:sdtPr>
    <w:sdtEndPr/>
    <w:sdtContent>
      <w:p w14:paraId="724EA59A" w14:textId="77777777" w:rsidR="00081B56" w:rsidRDefault="00081B5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339">
          <w:rPr>
            <w:noProof/>
          </w:rPr>
          <w:t>7</w:t>
        </w:r>
        <w:r>
          <w:fldChar w:fldCharType="end"/>
        </w:r>
      </w:p>
    </w:sdtContent>
  </w:sdt>
  <w:p w14:paraId="724EA59B" w14:textId="77777777" w:rsidR="00081B56" w:rsidRDefault="00081B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E7C62" w14:textId="77777777" w:rsidR="00B726A6" w:rsidRDefault="00B726A6" w:rsidP="00256C89">
      <w:pPr>
        <w:spacing w:after="0" w:line="240" w:lineRule="auto"/>
      </w:pPr>
      <w:r>
        <w:separator/>
      </w:r>
    </w:p>
  </w:footnote>
  <w:footnote w:type="continuationSeparator" w:id="0">
    <w:p w14:paraId="13AE70EA" w14:textId="77777777" w:rsidR="00B726A6" w:rsidRDefault="00B726A6" w:rsidP="0025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407D"/>
    <w:multiLevelType w:val="hybridMultilevel"/>
    <w:tmpl w:val="DCB21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509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07D99"/>
    <w:multiLevelType w:val="hybridMultilevel"/>
    <w:tmpl w:val="3EE8B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30FE"/>
    <w:multiLevelType w:val="hybridMultilevel"/>
    <w:tmpl w:val="A03A7DA2"/>
    <w:lvl w:ilvl="0" w:tplc="A8846348">
      <w:start w:val="1"/>
      <w:numFmt w:val="upperRoman"/>
      <w:lvlText w:val="%1.a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1659"/>
    <w:multiLevelType w:val="hybridMultilevel"/>
    <w:tmpl w:val="057254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C79E0"/>
    <w:multiLevelType w:val="hybridMultilevel"/>
    <w:tmpl w:val="CA9EA9D4"/>
    <w:lvl w:ilvl="0" w:tplc="A8846348">
      <w:start w:val="1"/>
      <w:numFmt w:val="upperRoman"/>
      <w:lvlText w:val="%1.a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61D95"/>
    <w:multiLevelType w:val="hybridMultilevel"/>
    <w:tmpl w:val="878A3B4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FC7715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571D84"/>
    <w:multiLevelType w:val="hybridMultilevel"/>
    <w:tmpl w:val="EFB0C0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BA"/>
    <w:rsid w:val="0001250D"/>
    <w:rsid w:val="00013677"/>
    <w:rsid w:val="00015B3E"/>
    <w:rsid w:val="000277F1"/>
    <w:rsid w:val="00035E1F"/>
    <w:rsid w:val="000370E4"/>
    <w:rsid w:val="0004631D"/>
    <w:rsid w:val="0006104F"/>
    <w:rsid w:val="000622D1"/>
    <w:rsid w:val="0006437D"/>
    <w:rsid w:val="00074BBD"/>
    <w:rsid w:val="00081B56"/>
    <w:rsid w:val="000920C0"/>
    <w:rsid w:val="000A03B6"/>
    <w:rsid w:val="000A2387"/>
    <w:rsid w:val="000A73B5"/>
    <w:rsid w:val="000B0F7D"/>
    <w:rsid w:val="000B688A"/>
    <w:rsid w:val="000C596B"/>
    <w:rsid w:val="000C5A55"/>
    <w:rsid w:val="000C5F33"/>
    <w:rsid w:val="000D0078"/>
    <w:rsid w:val="000F2DC1"/>
    <w:rsid w:val="000F40A1"/>
    <w:rsid w:val="000F47A2"/>
    <w:rsid w:val="00114314"/>
    <w:rsid w:val="001218C0"/>
    <w:rsid w:val="00151CCC"/>
    <w:rsid w:val="00153339"/>
    <w:rsid w:val="00154A67"/>
    <w:rsid w:val="00155B93"/>
    <w:rsid w:val="00163F9B"/>
    <w:rsid w:val="00167C0A"/>
    <w:rsid w:val="00186350"/>
    <w:rsid w:val="00192B48"/>
    <w:rsid w:val="001A5F3A"/>
    <w:rsid w:val="001B0B2A"/>
    <w:rsid w:val="001B18AB"/>
    <w:rsid w:val="001B64DA"/>
    <w:rsid w:val="001C1B64"/>
    <w:rsid w:val="001C64DE"/>
    <w:rsid w:val="001D057A"/>
    <w:rsid w:val="001E4CB7"/>
    <w:rsid w:val="001E501B"/>
    <w:rsid w:val="001F35A5"/>
    <w:rsid w:val="00201405"/>
    <w:rsid w:val="00210EF3"/>
    <w:rsid w:val="00216FCE"/>
    <w:rsid w:val="002229DA"/>
    <w:rsid w:val="0022390C"/>
    <w:rsid w:val="00227C71"/>
    <w:rsid w:val="002427F0"/>
    <w:rsid w:val="00256C89"/>
    <w:rsid w:val="00257148"/>
    <w:rsid w:val="00272846"/>
    <w:rsid w:val="0027648D"/>
    <w:rsid w:val="002856D3"/>
    <w:rsid w:val="00293CD1"/>
    <w:rsid w:val="00293DD8"/>
    <w:rsid w:val="00293EA3"/>
    <w:rsid w:val="00295371"/>
    <w:rsid w:val="002A6342"/>
    <w:rsid w:val="002A63A0"/>
    <w:rsid w:val="002B4DDE"/>
    <w:rsid w:val="002B68E7"/>
    <w:rsid w:val="002C6D1F"/>
    <w:rsid w:val="002C7934"/>
    <w:rsid w:val="002E635C"/>
    <w:rsid w:val="002E6E63"/>
    <w:rsid w:val="002F3786"/>
    <w:rsid w:val="002F39B2"/>
    <w:rsid w:val="00302A3B"/>
    <w:rsid w:val="00310F82"/>
    <w:rsid w:val="00311560"/>
    <w:rsid w:val="0031376D"/>
    <w:rsid w:val="003326D3"/>
    <w:rsid w:val="00345DC3"/>
    <w:rsid w:val="00350746"/>
    <w:rsid w:val="00350AB2"/>
    <w:rsid w:val="00372AB3"/>
    <w:rsid w:val="003A34BC"/>
    <w:rsid w:val="003A5BA8"/>
    <w:rsid w:val="003C38AB"/>
    <w:rsid w:val="003C709D"/>
    <w:rsid w:val="003D4D23"/>
    <w:rsid w:val="003E0CDD"/>
    <w:rsid w:val="003E76E4"/>
    <w:rsid w:val="004033C4"/>
    <w:rsid w:val="00405014"/>
    <w:rsid w:val="00407D7F"/>
    <w:rsid w:val="0042341C"/>
    <w:rsid w:val="004263FD"/>
    <w:rsid w:val="00430FA3"/>
    <w:rsid w:val="00434731"/>
    <w:rsid w:val="00435372"/>
    <w:rsid w:val="0044328F"/>
    <w:rsid w:val="004503FB"/>
    <w:rsid w:val="00453A25"/>
    <w:rsid w:val="00454B98"/>
    <w:rsid w:val="00461CA7"/>
    <w:rsid w:val="0046259B"/>
    <w:rsid w:val="00477461"/>
    <w:rsid w:val="00477738"/>
    <w:rsid w:val="0048454E"/>
    <w:rsid w:val="00487C2E"/>
    <w:rsid w:val="0049777F"/>
    <w:rsid w:val="004A1C00"/>
    <w:rsid w:val="004A2683"/>
    <w:rsid w:val="004B0A79"/>
    <w:rsid w:val="004B166E"/>
    <w:rsid w:val="004B5C7D"/>
    <w:rsid w:val="004C0D07"/>
    <w:rsid w:val="004C65BF"/>
    <w:rsid w:val="004E5473"/>
    <w:rsid w:val="004F0CA7"/>
    <w:rsid w:val="00514607"/>
    <w:rsid w:val="00525AA1"/>
    <w:rsid w:val="00531AB9"/>
    <w:rsid w:val="005478B2"/>
    <w:rsid w:val="00555D3E"/>
    <w:rsid w:val="00565833"/>
    <w:rsid w:val="00574AF3"/>
    <w:rsid w:val="00576DF9"/>
    <w:rsid w:val="005A3CF5"/>
    <w:rsid w:val="005A4FE4"/>
    <w:rsid w:val="005A733C"/>
    <w:rsid w:val="005C0796"/>
    <w:rsid w:val="005C4C2C"/>
    <w:rsid w:val="005D04F6"/>
    <w:rsid w:val="005E26D7"/>
    <w:rsid w:val="005E329E"/>
    <w:rsid w:val="005E5834"/>
    <w:rsid w:val="005F74D9"/>
    <w:rsid w:val="00614DB9"/>
    <w:rsid w:val="00644145"/>
    <w:rsid w:val="00651437"/>
    <w:rsid w:val="00657004"/>
    <w:rsid w:val="006667B7"/>
    <w:rsid w:val="0068098D"/>
    <w:rsid w:val="00682BC9"/>
    <w:rsid w:val="00682C86"/>
    <w:rsid w:val="0069324E"/>
    <w:rsid w:val="00693EA5"/>
    <w:rsid w:val="006A56A4"/>
    <w:rsid w:val="006B025B"/>
    <w:rsid w:val="006B4147"/>
    <w:rsid w:val="006D15CB"/>
    <w:rsid w:val="006D7E8F"/>
    <w:rsid w:val="006F3E24"/>
    <w:rsid w:val="007009F9"/>
    <w:rsid w:val="00705D7F"/>
    <w:rsid w:val="007278A5"/>
    <w:rsid w:val="007338B0"/>
    <w:rsid w:val="00737EEA"/>
    <w:rsid w:val="00750CAE"/>
    <w:rsid w:val="007530F5"/>
    <w:rsid w:val="00753132"/>
    <w:rsid w:val="00786775"/>
    <w:rsid w:val="0079051E"/>
    <w:rsid w:val="007962EF"/>
    <w:rsid w:val="007A5F99"/>
    <w:rsid w:val="007B744F"/>
    <w:rsid w:val="007C3DC7"/>
    <w:rsid w:val="007D24AA"/>
    <w:rsid w:val="007E1381"/>
    <w:rsid w:val="007F3F6C"/>
    <w:rsid w:val="00812053"/>
    <w:rsid w:val="0082138D"/>
    <w:rsid w:val="0083026A"/>
    <w:rsid w:val="0085038C"/>
    <w:rsid w:val="00852797"/>
    <w:rsid w:val="00871245"/>
    <w:rsid w:val="00875E01"/>
    <w:rsid w:val="0088063E"/>
    <w:rsid w:val="00881D32"/>
    <w:rsid w:val="008919DB"/>
    <w:rsid w:val="00897C22"/>
    <w:rsid w:val="008A2930"/>
    <w:rsid w:val="008C44BD"/>
    <w:rsid w:val="008F41E1"/>
    <w:rsid w:val="008F768E"/>
    <w:rsid w:val="0090396F"/>
    <w:rsid w:val="009118A2"/>
    <w:rsid w:val="009163C2"/>
    <w:rsid w:val="0092679D"/>
    <w:rsid w:val="009273FD"/>
    <w:rsid w:val="00932C89"/>
    <w:rsid w:val="00935B96"/>
    <w:rsid w:val="0095164E"/>
    <w:rsid w:val="0095639F"/>
    <w:rsid w:val="00956BDA"/>
    <w:rsid w:val="0095776A"/>
    <w:rsid w:val="00957D57"/>
    <w:rsid w:val="00962B2B"/>
    <w:rsid w:val="00964319"/>
    <w:rsid w:val="00964DD6"/>
    <w:rsid w:val="0096598E"/>
    <w:rsid w:val="009661A0"/>
    <w:rsid w:val="00982544"/>
    <w:rsid w:val="00995357"/>
    <w:rsid w:val="009966DA"/>
    <w:rsid w:val="00996AF2"/>
    <w:rsid w:val="009A6439"/>
    <w:rsid w:val="009A7245"/>
    <w:rsid w:val="009B2477"/>
    <w:rsid w:val="009B35A3"/>
    <w:rsid w:val="009B4C55"/>
    <w:rsid w:val="009C5822"/>
    <w:rsid w:val="009D4A16"/>
    <w:rsid w:val="009E7E0A"/>
    <w:rsid w:val="00A176A5"/>
    <w:rsid w:val="00A265B4"/>
    <w:rsid w:val="00A27901"/>
    <w:rsid w:val="00A304FB"/>
    <w:rsid w:val="00A340A0"/>
    <w:rsid w:val="00A35986"/>
    <w:rsid w:val="00A43802"/>
    <w:rsid w:val="00A451B6"/>
    <w:rsid w:val="00A47451"/>
    <w:rsid w:val="00A474D8"/>
    <w:rsid w:val="00A53BF9"/>
    <w:rsid w:val="00A549E6"/>
    <w:rsid w:val="00A5556F"/>
    <w:rsid w:val="00A557E5"/>
    <w:rsid w:val="00A677BA"/>
    <w:rsid w:val="00A71532"/>
    <w:rsid w:val="00A77FA7"/>
    <w:rsid w:val="00A836C0"/>
    <w:rsid w:val="00A85606"/>
    <w:rsid w:val="00A94286"/>
    <w:rsid w:val="00A955B6"/>
    <w:rsid w:val="00AA5FF5"/>
    <w:rsid w:val="00AB3FD1"/>
    <w:rsid w:val="00AC06A1"/>
    <w:rsid w:val="00AC48AC"/>
    <w:rsid w:val="00AD1B22"/>
    <w:rsid w:val="00AD4C9F"/>
    <w:rsid w:val="00AD75CA"/>
    <w:rsid w:val="00AE5990"/>
    <w:rsid w:val="00AE728A"/>
    <w:rsid w:val="00AF1E71"/>
    <w:rsid w:val="00B077BC"/>
    <w:rsid w:val="00B1004C"/>
    <w:rsid w:val="00B204AB"/>
    <w:rsid w:val="00B358D6"/>
    <w:rsid w:val="00B3613D"/>
    <w:rsid w:val="00B36494"/>
    <w:rsid w:val="00B373C5"/>
    <w:rsid w:val="00B37904"/>
    <w:rsid w:val="00B448D4"/>
    <w:rsid w:val="00B517E7"/>
    <w:rsid w:val="00B52BAB"/>
    <w:rsid w:val="00B57C01"/>
    <w:rsid w:val="00B726A6"/>
    <w:rsid w:val="00B745B7"/>
    <w:rsid w:val="00B9104A"/>
    <w:rsid w:val="00B94BE5"/>
    <w:rsid w:val="00B96638"/>
    <w:rsid w:val="00BA32AD"/>
    <w:rsid w:val="00BC01A7"/>
    <w:rsid w:val="00BC1082"/>
    <w:rsid w:val="00BD1C21"/>
    <w:rsid w:val="00BD20F3"/>
    <w:rsid w:val="00BD5AC6"/>
    <w:rsid w:val="00BE5A2A"/>
    <w:rsid w:val="00C00C44"/>
    <w:rsid w:val="00C05FF2"/>
    <w:rsid w:val="00C076D8"/>
    <w:rsid w:val="00C12815"/>
    <w:rsid w:val="00C1391D"/>
    <w:rsid w:val="00C155C5"/>
    <w:rsid w:val="00C25934"/>
    <w:rsid w:val="00C42BA6"/>
    <w:rsid w:val="00C45612"/>
    <w:rsid w:val="00C46F9A"/>
    <w:rsid w:val="00C539D3"/>
    <w:rsid w:val="00C61775"/>
    <w:rsid w:val="00C644B2"/>
    <w:rsid w:val="00C74146"/>
    <w:rsid w:val="00C8269D"/>
    <w:rsid w:val="00C87D56"/>
    <w:rsid w:val="00C90DB5"/>
    <w:rsid w:val="00C922CA"/>
    <w:rsid w:val="00C93E6D"/>
    <w:rsid w:val="00CA0FD2"/>
    <w:rsid w:val="00CA5BE3"/>
    <w:rsid w:val="00CD7DB7"/>
    <w:rsid w:val="00CF0F66"/>
    <w:rsid w:val="00CF2D09"/>
    <w:rsid w:val="00D21652"/>
    <w:rsid w:val="00D2361C"/>
    <w:rsid w:val="00D27B75"/>
    <w:rsid w:val="00D35556"/>
    <w:rsid w:val="00D44FD3"/>
    <w:rsid w:val="00D468F9"/>
    <w:rsid w:val="00D61276"/>
    <w:rsid w:val="00D66B0C"/>
    <w:rsid w:val="00D6788A"/>
    <w:rsid w:val="00D67D0C"/>
    <w:rsid w:val="00D7293F"/>
    <w:rsid w:val="00D72A52"/>
    <w:rsid w:val="00D84444"/>
    <w:rsid w:val="00D9064C"/>
    <w:rsid w:val="00D930BD"/>
    <w:rsid w:val="00D94ECE"/>
    <w:rsid w:val="00D95444"/>
    <w:rsid w:val="00DB1FEA"/>
    <w:rsid w:val="00DB7BCF"/>
    <w:rsid w:val="00DC1356"/>
    <w:rsid w:val="00DC73AB"/>
    <w:rsid w:val="00DD1BDD"/>
    <w:rsid w:val="00DD36C4"/>
    <w:rsid w:val="00DD4740"/>
    <w:rsid w:val="00DE1B76"/>
    <w:rsid w:val="00DE1F59"/>
    <w:rsid w:val="00DE71A6"/>
    <w:rsid w:val="00DF1513"/>
    <w:rsid w:val="00DF6DF7"/>
    <w:rsid w:val="00E06FB8"/>
    <w:rsid w:val="00E34D3D"/>
    <w:rsid w:val="00E444FA"/>
    <w:rsid w:val="00E45C9B"/>
    <w:rsid w:val="00E52E14"/>
    <w:rsid w:val="00E74227"/>
    <w:rsid w:val="00E74B9A"/>
    <w:rsid w:val="00E74FFD"/>
    <w:rsid w:val="00E75740"/>
    <w:rsid w:val="00E84402"/>
    <w:rsid w:val="00E90A8A"/>
    <w:rsid w:val="00E951ED"/>
    <w:rsid w:val="00EA2168"/>
    <w:rsid w:val="00EB5C2B"/>
    <w:rsid w:val="00EC14AF"/>
    <w:rsid w:val="00EC76A8"/>
    <w:rsid w:val="00EF293A"/>
    <w:rsid w:val="00EF3B28"/>
    <w:rsid w:val="00F02B9A"/>
    <w:rsid w:val="00F05694"/>
    <w:rsid w:val="00F13B35"/>
    <w:rsid w:val="00F13D26"/>
    <w:rsid w:val="00F15084"/>
    <w:rsid w:val="00F15393"/>
    <w:rsid w:val="00F172B9"/>
    <w:rsid w:val="00F35FB6"/>
    <w:rsid w:val="00F44B52"/>
    <w:rsid w:val="00F5435F"/>
    <w:rsid w:val="00F7555D"/>
    <w:rsid w:val="00F8129B"/>
    <w:rsid w:val="00F87F12"/>
    <w:rsid w:val="00F90CD3"/>
    <w:rsid w:val="00FB0DCA"/>
    <w:rsid w:val="00FB6CD4"/>
    <w:rsid w:val="00FC076D"/>
    <w:rsid w:val="00FC3EB4"/>
    <w:rsid w:val="00FD70FB"/>
    <w:rsid w:val="00FF23BF"/>
    <w:rsid w:val="00FF4EBA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9D5F"/>
  <w15:chartTrackingRefBased/>
  <w15:docId w15:val="{4C9D71B6-7DCD-4F34-B23D-0DC2606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4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6C89"/>
  </w:style>
  <w:style w:type="paragraph" w:styleId="Podnoje">
    <w:name w:val="footer"/>
    <w:basedOn w:val="Normal"/>
    <w:link w:val="PodnojeChar"/>
    <w:uiPriority w:val="99"/>
    <w:unhideWhenUsed/>
    <w:rsid w:val="002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6C89"/>
  </w:style>
  <w:style w:type="paragraph" w:styleId="Odlomakpopisa">
    <w:name w:val="List Paragraph"/>
    <w:basedOn w:val="Normal"/>
    <w:uiPriority w:val="34"/>
    <w:qFormat/>
    <w:rsid w:val="00932C89"/>
    <w:pPr>
      <w:ind w:left="720"/>
      <w:contextualSpacing/>
    </w:pPr>
  </w:style>
  <w:style w:type="table" w:styleId="Reetkatablice">
    <w:name w:val="Table Grid"/>
    <w:basedOn w:val="Obinatablica"/>
    <w:uiPriority w:val="59"/>
    <w:rsid w:val="00911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9118A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9118A2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Tekstbalonia">
    <w:name w:val="Balloon Text"/>
    <w:basedOn w:val="Normal"/>
    <w:link w:val="TekstbaloniaChar"/>
    <w:uiPriority w:val="99"/>
    <w:semiHidden/>
    <w:unhideWhenUsed/>
    <w:rsid w:val="00D2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B75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42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DCDD-3119-425E-B2AF-9E1FCF5D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7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Stoklasa</dc:creator>
  <cp:keywords/>
  <dc:description/>
  <cp:lastModifiedBy>Natasa Stoklasa</cp:lastModifiedBy>
  <cp:revision>349</cp:revision>
  <cp:lastPrinted>2024-07-18T17:00:00Z</cp:lastPrinted>
  <dcterms:created xsi:type="dcterms:W3CDTF">2024-03-20T17:49:00Z</dcterms:created>
  <dcterms:modified xsi:type="dcterms:W3CDTF">2026-03-23T22:44:00Z</dcterms:modified>
</cp:coreProperties>
</file>